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0F5004A7" w:rsidR="00CF3738" w:rsidRDefault="00CF3738" w:rsidP="00CF3738">
      <w:pPr>
        <w:rPr>
          <w:lang w:val="es-GT" w:eastAsia="es-MX"/>
        </w:rPr>
      </w:pPr>
    </w:p>
    <w:p w14:paraId="11C28533" w14:textId="0BCF2DB3" w:rsidR="00980AA0" w:rsidRDefault="00686A29" w:rsidP="00CF3738">
      <w:pPr>
        <w:rPr>
          <w:lang w:val="es-GT" w:eastAsia="es-MX"/>
        </w:rPr>
      </w:pPr>
      <w:r w:rsidRPr="00980AA0">
        <w:rPr>
          <w:noProof/>
        </w:rPr>
        <w:drawing>
          <wp:anchor distT="0" distB="0" distL="114300" distR="114300" simplePos="0" relativeHeight="251658752" behindDoc="0" locked="0" layoutInCell="1" allowOverlap="1" wp14:anchorId="558DC229" wp14:editId="01909748">
            <wp:simplePos x="0" y="0"/>
            <wp:positionH relativeFrom="column">
              <wp:posOffset>725170</wp:posOffset>
            </wp:positionH>
            <wp:positionV relativeFrom="paragraph">
              <wp:posOffset>13335</wp:posOffset>
            </wp:positionV>
            <wp:extent cx="4543425" cy="6572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A39DC" w14:textId="660A7E11" w:rsidR="00980AA0" w:rsidRDefault="00980AA0" w:rsidP="00CF3738">
      <w:pPr>
        <w:rPr>
          <w:lang w:val="es-GT" w:eastAsia="es-MX"/>
        </w:rPr>
      </w:pPr>
    </w:p>
    <w:p w14:paraId="3B934784" w14:textId="309CB2CD" w:rsidR="00980AA0" w:rsidRDefault="00980AA0" w:rsidP="00CF3738">
      <w:pPr>
        <w:rPr>
          <w:lang w:val="es-GT" w:eastAsia="es-MX"/>
        </w:rPr>
      </w:pPr>
    </w:p>
    <w:p w14:paraId="33E3B807" w14:textId="4C53351A" w:rsidR="00686A29" w:rsidRDefault="00686A29" w:rsidP="00CF3738">
      <w:pPr>
        <w:rPr>
          <w:lang w:val="es-GT" w:eastAsia="es-MX"/>
        </w:rPr>
      </w:pPr>
    </w:p>
    <w:p w14:paraId="158CCE78" w14:textId="40B6D313" w:rsidR="00686A29" w:rsidRDefault="000D7FED" w:rsidP="00CF3738">
      <w:pPr>
        <w:rPr>
          <w:lang w:val="es-GT"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6FB8F5C" wp14:editId="78033602">
                <wp:simplePos x="0" y="0"/>
                <wp:positionH relativeFrom="column">
                  <wp:posOffset>1337310</wp:posOffset>
                </wp:positionH>
                <wp:positionV relativeFrom="paragraph">
                  <wp:posOffset>8890</wp:posOffset>
                </wp:positionV>
                <wp:extent cx="3270885" cy="553720"/>
                <wp:effectExtent l="0" t="0" r="0" b="0"/>
                <wp:wrapSquare wrapText="bothSides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70885" cy="553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3F2D06" w14:textId="77777777" w:rsidR="000D7FED" w:rsidRDefault="000D7FED" w:rsidP="000D7FED">
                            <w:pPr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MAYO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B8F5C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05.3pt;margin-top:.7pt;width:257.55pt;height:43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" filled="f" stroked="f">
                <o:lock v:ext="edit" shapetype="t"/>
                <v:textbox>
                  <w:txbxContent>
                    <w:p w14:paraId="6E3F2D06" w14:textId="77777777" w:rsidR="000D7FED" w:rsidRDefault="000D7FED" w:rsidP="000D7FED">
                      <w:pPr>
                        <w:jc w:val="center"/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MAYO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3980F" w14:textId="7D3D3869" w:rsidR="00686A29" w:rsidRDefault="00686A29" w:rsidP="00CF3738">
      <w:pPr>
        <w:rPr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p w14:paraId="60ED5E77" w14:textId="0D4DF764" w:rsidR="00686A29" w:rsidRDefault="00686A29" w:rsidP="00CF3738">
      <w:pPr>
        <w:rPr>
          <w:lang w:val="es-GT" w:eastAsia="es-MX"/>
        </w:rPr>
      </w:pPr>
    </w:p>
    <w:p w14:paraId="1BBC93AB" w14:textId="0086C50B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5E6D9A9E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D119E4">
        <w:rPr>
          <w:rFonts w:ascii="Times New Roman" w:hAnsi="Times New Roman" w:cs="Times New Roman"/>
        </w:rPr>
        <w:t>934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D119E4">
        <w:rPr>
          <w:rFonts w:ascii="Times New Roman" w:hAnsi="Times New Roman" w:cs="Times New Roman"/>
        </w:rPr>
        <w:t>46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D119E4">
        <w:rPr>
          <w:rFonts w:ascii="Times New Roman" w:hAnsi="Times New Roman" w:cs="Times New Roman"/>
        </w:rPr>
        <w:t>32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 xml:space="preserve">; </w:t>
      </w:r>
      <w:r w:rsidRPr="001C03FD">
        <w:rPr>
          <w:rFonts w:ascii="Times New Roman" w:hAnsi="Times New Roman" w:cs="Times New Roman"/>
        </w:rPr>
        <w:t xml:space="preserve">el </w:t>
      </w:r>
      <w:r w:rsidR="00BA109E">
        <w:rPr>
          <w:rFonts w:ascii="Times New Roman" w:hAnsi="Times New Roman" w:cs="Times New Roman"/>
        </w:rPr>
        <w:t>7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BA109E">
        <w:rPr>
          <w:rFonts w:ascii="Times New Roman" w:hAnsi="Times New Roman" w:cs="Times New Roman"/>
        </w:rPr>
        <w:t>Información y comunicaciones</w:t>
      </w:r>
      <w:r w:rsidR="00550CF1" w:rsidRPr="00550CF1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4E231F">
        <w:rPr>
          <w:rFonts w:ascii="Times New Roman" w:hAnsi="Times New Roman" w:cs="Times New Roman"/>
        </w:rPr>
        <w:t>15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0CDB3D95" w14:textId="77777777" w:rsidR="00686A29" w:rsidRDefault="00686A29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29931D63" w:rsidR="00460EC6" w:rsidRDefault="004E5D2F" w:rsidP="002B1F6F">
      <w:pPr>
        <w:jc w:val="center"/>
        <w:rPr>
          <w:noProof/>
        </w:rPr>
      </w:pPr>
      <w:r w:rsidRPr="004E5D2F">
        <w:rPr>
          <w:noProof/>
        </w:rPr>
        <w:drawing>
          <wp:inline distT="0" distB="0" distL="0" distR="0" wp14:anchorId="4FE404EA" wp14:editId="54C3F8C6">
            <wp:extent cx="5971540" cy="466741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99" cy="467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51276166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8317379"/>
    </w:p>
    <w:p w14:paraId="68B61B9A" w14:textId="77777777" w:rsidR="001A7258" w:rsidRDefault="001A7258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5598F9DB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1B3ED1F6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409809D" w14:textId="7E742D23" w:rsidR="001A7258" w:rsidRDefault="004E5D2F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5D2F">
        <w:rPr>
          <w:noProof/>
        </w:rPr>
        <w:drawing>
          <wp:inline distT="0" distB="0" distL="0" distR="0" wp14:anchorId="3F9EFE02" wp14:editId="7D26F13C">
            <wp:extent cx="5971540" cy="7124369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299" cy="713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273615" w14:textId="21BF8892" w:rsidR="00534F63" w:rsidRPr="004F2262" w:rsidRDefault="00A55C73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4"/>
          <w:szCs w:val="14"/>
        </w:rPr>
        <w:t xml:space="preserve"> </w:t>
      </w:r>
      <w:r w:rsidR="00534F63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4F2262">
        <w:rPr>
          <w:rFonts w:ascii="Times New Roman" w:hAnsi="Times New Roman" w:cs="Times New Roman"/>
          <w:sz w:val="16"/>
          <w:szCs w:val="16"/>
        </w:rPr>
        <w:t xml:space="preserve">, Departamento de Verificación y </w:t>
      </w:r>
      <w:r w:rsidR="00A42139" w:rsidRPr="004F2262">
        <w:rPr>
          <w:rFonts w:ascii="Times New Roman" w:hAnsi="Times New Roman" w:cs="Times New Roman"/>
          <w:sz w:val="16"/>
          <w:szCs w:val="16"/>
        </w:rPr>
        <w:t>Vigilancia</w:t>
      </w:r>
      <w:r w:rsidR="00495E7D" w:rsidRPr="004F2262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4F2262">
        <w:rPr>
          <w:rFonts w:ascii="Times New Roman" w:hAnsi="Times New Roman" w:cs="Times New Roman"/>
          <w:sz w:val="16"/>
          <w:szCs w:val="16"/>
        </w:rPr>
        <w:t xml:space="preserve"> y</w:t>
      </w:r>
      <w:r w:rsidR="00534F63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</w:t>
      </w:r>
      <w:r w:rsidR="00534F63" w:rsidRPr="004F2262">
        <w:rPr>
          <w:rFonts w:ascii="Times New Roman" w:hAnsi="Times New Roman" w:cs="Times New Roman"/>
          <w:sz w:val="16"/>
          <w:szCs w:val="16"/>
        </w:rPr>
        <w:t xml:space="preserve">Sedes </w:t>
      </w:r>
    </w:p>
    <w:p w14:paraId="2878F7FF" w14:textId="34E7494B" w:rsidR="004B5AFE" w:rsidRPr="004F2262" w:rsidRDefault="004B5AFE" w:rsidP="00534F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7F39E2F" w14:textId="4808460B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75280C6F" w14:textId="77777777" w:rsidR="00616D60" w:rsidRDefault="00616D60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5C688FE6" w14:textId="77777777" w:rsidR="00D66116" w:rsidRDefault="00D66116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607A5C42" w14:textId="3EB1362E" w:rsidR="004B5AFE" w:rsidRDefault="004B5AFE" w:rsidP="004B5AFE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1324AB5" w14:textId="77777777" w:rsidR="004B5AFE" w:rsidRPr="001C03FD" w:rsidRDefault="004B5AFE" w:rsidP="004B5A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327E32A2" w14:textId="6693215A" w:rsidR="004B5AFE" w:rsidRPr="00836E3A" w:rsidRDefault="004B5AFE" w:rsidP="00836E3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D119E4">
        <w:rPr>
          <w:rFonts w:ascii="Times New Roman" w:hAnsi="Times New Roman" w:cs="Times New Roman"/>
          <w:b/>
          <w:bCs/>
        </w:rPr>
        <w:t xml:space="preserve">Mayo </w:t>
      </w:r>
      <w:r>
        <w:rPr>
          <w:rFonts w:ascii="Times New Roman" w:hAnsi="Times New Roman" w:cs="Times New Roman"/>
          <w:b/>
          <w:bCs/>
        </w:rPr>
        <w:t>2025</w:t>
      </w:r>
    </w:p>
    <w:p w14:paraId="170D295D" w14:textId="47E9570A" w:rsidR="004B5AFE" w:rsidRDefault="004E5D2F" w:rsidP="00534F63">
      <w:pPr>
        <w:jc w:val="both"/>
        <w:rPr>
          <w:rFonts w:ascii="Arial" w:hAnsi="Arial" w:cs="Arial"/>
          <w:sz w:val="14"/>
          <w:szCs w:val="14"/>
        </w:rPr>
      </w:pPr>
      <w:r w:rsidRPr="004E5D2F">
        <w:rPr>
          <w:noProof/>
        </w:rPr>
        <w:drawing>
          <wp:inline distT="0" distB="0" distL="0" distR="0" wp14:anchorId="2FE59478" wp14:editId="41A0A895">
            <wp:extent cx="5971241" cy="718797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859" cy="719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EA68B" w14:textId="3AA7FB83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1A894470" w14:textId="77777777" w:rsidR="00560B5A" w:rsidRDefault="00560B5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A3C4F8" w14:textId="77777777" w:rsidR="00560B5A" w:rsidRDefault="00560B5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4EE280" w14:textId="1F134752" w:rsidR="0036026A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3153FDB3" w14:textId="77777777" w:rsidR="0036026A" w:rsidRPr="001C03FD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7E389484" w14:textId="6B4317ED" w:rsidR="0036026A" w:rsidRDefault="0036026A" w:rsidP="003602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D119E4">
        <w:rPr>
          <w:rFonts w:ascii="Times New Roman" w:hAnsi="Times New Roman" w:cs="Times New Roman"/>
          <w:b/>
          <w:bCs/>
        </w:rPr>
        <w:t>Mayo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4F072ADC" w14:textId="14AAEF2D" w:rsidR="0036026A" w:rsidRDefault="004E5D2F" w:rsidP="00534F63">
      <w:pPr>
        <w:jc w:val="both"/>
        <w:rPr>
          <w:rFonts w:ascii="Arial" w:hAnsi="Arial" w:cs="Arial"/>
          <w:sz w:val="14"/>
          <w:szCs w:val="14"/>
        </w:rPr>
      </w:pPr>
      <w:r w:rsidRPr="004E5D2F">
        <w:rPr>
          <w:noProof/>
        </w:rPr>
        <w:drawing>
          <wp:inline distT="0" distB="0" distL="0" distR="0" wp14:anchorId="581D1DD5" wp14:editId="0E87A900">
            <wp:extent cx="5971540" cy="286246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109" cy="286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7A4E" w14:textId="622E01CC" w:rsidR="0036026A" w:rsidRPr="004F2262" w:rsidRDefault="00743561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Fuente: Departamento de Servicios al Consumidor, Departamento de Verificación y </w:t>
      </w:r>
      <w:r w:rsidR="00A42139" w:rsidRPr="004F2262">
        <w:rPr>
          <w:rFonts w:ascii="Times New Roman" w:hAnsi="Times New Roman" w:cs="Times New Roman"/>
          <w:sz w:val="16"/>
          <w:szCs w:val="16"/>
        </w:rPr>
        <w:t>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AD7168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AD7168" w:rsidRPr="004F2262">
        <w:rPr>
          <w:rFonts w:ascii="Times New Roman" w:hAnsi="Times New Roman" w:cs="Times New Roman"/>
          <w:sz w:val="16"/>
          <w:szCs w:val="16"/>
        </w:rPr>
        <w:t>)</w:t>
      </w:r>
      <w:r w:rsidR="00A42139" w:rsidRPr="004F2262">
        <w:rPr>
          <w:rFonts w:ascii="Times New Roman" w:hAnsi="Times New Roman" w:cs="Times New Roman"/>
          <w:sz w:val="16"/>
          <w:szCs w:val="16"/>
        </w:rPr>
        <w:t xml:space="preserve"> y</w:t>
      </w:r>
      <w:r w:rsidRPr="004F2262">
        <w:rPr>
          <w:rFonts w:ascii="Times New Roman" w:hAnsi="Times New Roman" w:cs="Times New Roman"/>
          <w:sz w:val="16"/>
          <w:szCs w:val="16"/>
        </w:rPr>
        <w:t xml:space="preserve"> Departamento de Coordinación de Sedes</w:t>
      </w:r>
    </w:p>
    <w:p w14:paraId="7825A8B1" w14:textId="57C590AD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0A9487F5" w14:textId="674D3866" w:rsidR="00E51B30" w:rsidRPr="00822E9F" w:rsidRDefault="00B7662C" w:rsidP="00B2098F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E0E0E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51B30" w:rsidRPr="00822E9F">
        <w:rPr>
          <w:rFonts w:ascii="Times New Roman" w:hAnsi="Times New Roman"/>
          <w:b/>
          <w:bCs/>
          <w:sz w:val="28"/>
          <w:szCs w:val="28"/>
          <w:shd w:val="clear" w:color="auto" w:fill="E0E0E0"/>
        </w:rPr>
        <w:t>Captación de Quejas</w:t>
      </w:r>
    </w:p>
    <w:p w14:paraId="7F3071F4" w14:textId="10DF246A" w:rsidR="00E51B30" w:rsidRPr="005F4720" w:rsidRDefault="00E51B30" w:rsidP="00E51B30">
      <w:pPr>
        <w:rPr>
          <w:lang w:val="es-GT" w:eastAsia="es-MX"/>
        </w:rPr>
      </w:pPr>
    </w:p>
    <w:p w14:paraId="5C09E92D" w14:textId="0D11AB80" w:rsidR="002A0E67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0F1AAF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0F1AAF">
        <w:rPr>
          <w:rFonts w:ascii="Times New Roman" w:hAnsi="Times New Roman" w:cs="Times New Roman"/>
        </w:rPr>
        <w:t>934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0F1AAF">
        <w:rPr>
          <w:rFonts w:ascii="Times New Roman" w:hAnsi="Times New Roman" w:cs="Times New Roman"/>
        </w:rPr>
        <w:t>849</w:t>
      </w:r>
      <w:r w:rsidR="009D48E5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836E3A">
        <w:rPr>
          <w:rFonts w:ascii="Times New Roman" w:hAnsi="Times New Roman" w:cs="Times New Roman"/>
        </w:rPr>
        <w:t>8</w:t>
      </w:r>
      <w:r w:rsidR="000F1AAF">
        <w:rPr>
          <w:rFonts w:ascii="Times New Roman" w:hAnsi="Times New Roman" w:cs="Times New Roman"/>
        </w:rPr>
        <w:t>5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5981EB9F" w14:textId="77777777" w:rsidR="009D48E5" w:rsidRPr="00684ADE" w:rsidRDefault="009D48E5" w:rsidP="00E51B30">
      <w:pPr>
        <w:jc w:val="both"/>
        <w:rPr>
          <w:rFonts w:ascii="Times New Roman" w:hAnsi="Times New Roman" w:cs="Times New Roman"/>
        </w:rPr>
      </w:pPr>
    </w:p>
    <w:p w14:paraId="2B48C559" w14:textId="10118879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50DE2D25" w:rsidR="009A480D" w:rsidRDefault="004E5D2F" w:rsidP="002F37EA">
      <w:pPr>
        <w:jc w:val="center"/>
        <w:rPr>
          <w:rFonts w:ascii="Times New Roman" w:hAnsi="Times New Roman" w:cs="Times New Roman"/>
          <w:b/>
        </w:rPr>
      </w:pPr>
      <w:r w:rsidRPr="004E5D2F">
        <w:rPr>
          <w:noProof/>
        </w:rPr>
        <w:drawing>
          <wp:inline distT="0" distB="0" distL="0" distR="0" wp14:anchorId="0E76D52A" wp14:editId="7D62C56C">
            <wp:extent cx="5906947" cy="1717608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62" cy="172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2E6083CF" w:rsidR="007D3414" w:rsidRPr="004F2262" w:rsidRDefault="002F37EA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</w:t>
      </w:r>
      <w:r w:rsidR="005A37ED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4F226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="005A37ED"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3969D18A" w14:textId="2F71465D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4B2B6609" w14:textId="6BF673A0" w:rsidR="0036026A" w:rsidRDefault="0036026A" w:rsidP="0036026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 xml:space="preserve">recibido por los tres medios de captación que dispone la </w:t>
      </w:r>
      <w:r w:rsidR="00743561">
        <w:rPr>
          <w:rFonts w:ascii="Times New Roman" w:hAnsi="Times New Roman" w:cs="Times New Roman"/>
        </w:rPr>
        <w:t xml:space="preserve">DIACO, </w:t>
      </w:r>
      <w:r w:rsidR="004E231F">
        <w:rPr>
          <w:rFonts w:ascii="Times New Roman" w:hAnsi="Times New Roman" w:cs="Times New Roman"/>
        </w:rPr>
        <w:t>4,</w:t>
      </w:r>
      <w:r w:rsidR="000F1AAF">
        <w:rPr>
          <w:rFonts w:ascii="Times New Roman" w:hAnsi="Times New Roman" w:cs="Times New Roman"/>
        </w:rPr>
        <w:t>968</w:t>
      </w:r>
      <w:r w:rsidRPr="00910D9A">
        <w:rPr>
          <w:rFonts w:ascii="Times New Roman" w:hAnsi="Times New Roman" w:cs="Times New Roman"/>
        </w:rPr>
        <w:t xml:space="preserve"> quejas; </w:t>
      </w:r>
      <w:r w:rsidR="000F1AAF">
        <w:rPr>
          <w:rFonts w:ascii="Times New Roman" w:hAnsi="Times New Roman" w:cs="Times New Roman"/>
        </w:rPr>
        <w:t>4,546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0F1AAF">
        <w:rPr>
          <w:rFonts w:ascii="Times New Roman" w:hAnsi="Times New Roman" w:cs="Times New Roman"/>
        </w:rPr>
        <w:t>422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4031859B" w14:textId="46DF5F87" w:rsidR="000D21AF" w:rsidRDefault="000D21AF" w:rsidP="0036026A">
      <w:pPr>
        <w:jc w:val="both"/>
        <w:rPr>
          <w:rFonts w:ascii="Times New Roman" w:hAnsi="Times New Roman" w:cs="Times New Roman"/>
        </w:rPr>
      </w:pPr>
    </w:p>
    <w:p w14:paraId="02609E2E" w14:textId="4FA0FFE9" w:rsidR="000D21AF" w:rsidRDefault="000D21AF" w:rsidP="0036026A">
      <w:pPr>
        <w:jc w:val="both"/>
        <w:rPr>
          <w:rFonts w:ascii="Times New Roman" w:hAnsi="Times New Roman" w:cs="Times New Roman"/>
        </w:rPr>
      </w:pPr>
    </w:p>
    <w:p w14:paraId="7930E381" w14:textId="77777777" w:rsidR="000F1AAF" w:rsidRDefault="000F1AAF" w:rsidP="0036026A">
      <w:pPr>
        <w:jc w:val="center"/>
        <w:rPr>
          <w:rFonts w:ascii="Times New Roman" w:hAnsi="Times New Roman" w:cs="Times New Roman"/>
          <w:b/>
        </w:rPr>
      </w:pPr>
    </w:p>
    <w:p w14:paraId="5AF65257" w14:textId="68BEC24D" w:rsidR="0036026A" w:rsidRPr="00684ADE" w:rsidRDefault="0036026A" w:rsidP="0036026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36C1C31A" w14:textId="77777777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42667AB6" w14:textId="0AD28BF1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0F1AAF">
        <w:rPr>
          <w:rFonts w:ascii="Times New Roman" w:hAnsi="Times New Roman" w:cs="Times New Roman"/>
          <w:b/>
        </w:rPr>
        <w:t>Mayo</w:t>
      </w:r>
      <w:r>
        <w:rPr>
          <w:rFonts w:ascii="Times New Roman" w:hAnsi="Times New Roman" w:cs="Times New Roman"/>
          <w:b/>
        </w:rPr>
        <w:t xml:space="preserve"> 2025</w:t>
      </w:r>
    </w:p>
    <w:p w14:paraId="1A500A6A" w14:textId="74C24AEE" w:rsidR="00743561" w:rsidRDefault="004E5D2F" w:rsidP="00743561">
      <w:pPr>
        <w:jc w:val="center"/>
        <w:rPr>
          <w:rFonts w:ascii="Times New Roman" w:hAnsi="Times New Roman" w:cs="Times New Roman"/>
          <w:b/>
        </w:rPr>
      </w:pPr>
      <w:r w:rsidRPr="004E5D2F">
        <w:rPr>
          <w:noProof/>
        </w:rPr>
        <w:drawing>
          <wp:inline distT="0" distB="0" distL="0" distR="0" wp14:anchorId="541727C6" wp14:editId="040784E3">
            <wp:extent cx="5905271" cy="1883857"/>
            <wp:effectExtent l="0" t="0" r="635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21" cy="189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BE29" w14:textId="2A21FA15" w:rsidR="00743561" w:rsidRPr="004F2262" w:rsidRDefault="00743561" w:rsidP="00743561">
      <w:pPr>
        <w:rPr>
          <w:rFonts w:ascii="Times New Roman" w:hAnsi="Times New Roman" w:cs="Times New Roman"/>
          <w:b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Departamento de Coordinación de Sedes </w:t>
      </w:r>
    </w:p>
    <w:p w14:paraId="2A2F4899" w14:textId="77777777" w:rsidR="00154D88" w:rsidRPr="00154D88" w:rsidRDefault="00154D88" w:rsidP="00154D88">
      <w:pPr>
        <w:rPr>
          <w:lang w:eastAsia="es-MX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2ECB383D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0F1AAF">
        <w:rPr>
          <w:rFonts w:ascii="Times New Roman" w:hAnsi="Times New Roman" w:cs="Times New Roman"/>
        </w:rPr>
        <w:t>mayo</w:t>
      </w:r>
      <w:r w:rsidR="00A55C73">
        <w:rPr>
          <w:rFonts w:ascii="Times New Roman" w:hAnsi="Times New Roman" w:cs="Times New Roman"/>
        </w:rPr>
        <w:t>, se</w:t>
      </w:r>
      <w:r w:rsidR="00281F57" w:rsidRPr="00684ADE">
        <w:rPr>
          <w:rFonts w:ascii="Times New Roman" w:hAnsi="Times New Roman" w:cs="Times New Roman"/>
        </w:rPr>
        <w:t xml:space="preserve"> documentaron </w:t>
      </w:r>
      <w:r w:rsidR="000F1AAF">
        <w:rPr>
          <w:rFonts w:ascii="Times New Roman" w:hAnsi="Times New Roman" w:cs="Times New Roman"/>
        </w:rPr>
        <w:t>670</w:t>
      </w:r>
      <w:r w:rsidR="00281F57" w:rsidRPr="00684ADE">
        <w:rPr>
          <w:rFonts w:ascii="Times New Roman" w:hAnsi="Times New Roman" w:cs="Times New Roman"/>
        </w:rPr>
        <w:t xml:space="preserve"> quejas por parte de los Consumidores</w:t>
      </w:r>
      <w:r w:rsidR="005A6D8E">
        <w:rPr>
          <w:rFonts w:ascii="Times New Roman" w:hAnsi="Times New Roman" w:cs="Times New Roman"/>
        </w:rPr>
        <w:t>,</w:t>
      </w:r>
      <w:r w:rsidR="00281F57" w:rsidRPr="00684ADE">
        <w:rPr>
          <w:rFonts w:ascii="Times New Roman" w:hAnsi="Times New Roman" w:cs="Times New Roman"/>
        </w:rPr>
        <w:t xml:space="preserve"> Usuarios </w:t>
      </w:r>
      <w:r w:rsidR="005A6D8E">
        <w:rPr>
          <w:rFonts w:ascii="Times New Roman" w:hAnsi="Times New Roman" w:cs="Times New Roman"/>
        </w:rPr>
        <w:t xml:space="preserve">y Tarjetahabientes </w:t>
      </w:r>
      <w:r w:rsidR="00281F57" w:rsidRPr="00684ADE">
        <w:rPr>
          <w:rFonts w:ascii="Times New Roman" w:hAnsi="Times New Roman" w:cs="Times New Roman"/>
        </w:rPr>
        <w:t xml:space="preserve">de las cuales en Sede Central fueron documentadas </w:t>
      </w:r>
      <w:r w:rsidR="000F1AAF">
        <w:rPr>
          <w:rFonts w:ascii="Times New Roman" w:hAnsi="Times New Roman" w:cs="Times New Roman"/>
        </w:rPr>
        <w:t>585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836E3A">
        <w:rPr>
          <w:rFonts w:ascii="Times New Roman" w:hAnsi="Times New Roman" w:cs="Times New Roman"/>
        </w:rPr>
        <w:t>8</w:t>
      </w:r>
      <w:r w:rsidR="000F1AAF">
        <w:rPr>
          <w:rFonts w:ascii="Times New Roman" w:hAnsi="Times New Roman" w:cs="Times New Roman"/>
        </w:rPr>
        <w:t>5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11DB08D3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5</w:t>
      </w:r>
    </w:p>
    <w:p w14:paraId="0250BEB3" w14:textId="390D8BCA" w:rsidR="00281F57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57B897C7" w14:textId="05311F89" w:rsidR="00154D88" w:rsidRPr="00684ADE" w:rsidRDefault="004E5D2F" w:rsidP="00281F57">
      <w:pPr>
        <w:jc w:val="center"/>
        <w:rPr>
          <w:rFonts w:ascii="Times New Roman" w:hAnsi="Times New Roman" w:cs="Times New Roman"/>
          <w:b/>
        </w:rPr>
      </w:pPr>
      <w:r w:rsidRPr="004E5D2F">
        <w:rPr>
          <w:noProof/>
        </w:rPr>
        <w:drawing>
          <wp:inline distT="0" distB="0" distL="0" distR="0" wp14:anchorId="07122AA8" wp14:editId="27B8153B">
            <wp:extent cx="5740520" cy="89789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541" cy="90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09C5116C" w:rsidR="007D3414" w:rsidRPr="004F2262" w:rsidRDefault="00871DCE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0D9A"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</w:t>
      </w:r>
      <w:r w:rsidR="00395459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Pr="004F226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="00395459"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71078C6B" w14:textId="3CBCF123" w:rsidR="0089328D" w:rsidRDefault="0089328D" w:rsidP="007D3414">
      <w:pPr>
        <w:rPr>
          <w:rFonts w:ascii="Arial" w:hAnsi="Arial" w:cs="Arial"/>
          <w:sz w:val="22"/>
          <w:szCs w:val="22"/>
        </w:rPr>
      </w:pPr>
    </w:p>
    <w:p w14:paraId="4AB0A68F" w14:textId="5AC651AF" w:rsidR="00154D88" w:rsidRPr="00910D9A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4E231F">
        <w:rPr>
          <w:rFonts w:ascii="Times New Roman" w:hAnsi="Times New Roman" w:cs="Times New Roman"/>
        </w:rPr>
        <w:t>2,</w:t>
      </w:r>
      <w:r w:rsidR="000F1AAF">
        <w:rPr>
          <w:rFonts w:ascii="Times New Roman" w:hAnsi="Times New Roman" w:cs="Times New Roman"/>
        </w:rPr>
        <w:t>921</w:t>
      </w:r>
      <w:r w:rsidRPr="00910D9A">
        <w:rPr>
          <w:rFonts w:ascii="Times New Roman" w:hAnsi="Times New Roman" w:cs="Times New Roman"/>
        </w:rPr>
        <w:t xml:space="preserve"> quejas; </w:t>
      </w:r>
      <w:r w:rsidR="000F1AAF">
        <w:rPr>
          <w:rFonts w:ascii="Times New Roman" w:hAnsi="Times New Roman" w:cs="Times New Roman"/>
        </w:rPr>
        <w:t>2,499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0F1AAF">
        <w:rPr>
          <w:rFonts w:ascii="Times New Roman" w:hAnsi="Times New Roman" w:cs="Times New Roman"/>
        </w:rPr>
        <w:t>422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75F2A392" w14:textId="36D23949" w:rsidR="00154D88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87A2041" w14:textId="77777777" w:rsidR="00154D88" w:rsidRPr="00F84D71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Cuadro 6</w:t>
      </w:r>
    </w:p>
    <w:p w14:paraId="00346683" w14:textId="77777777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754D5DAB" w14:textId="2A7C55D4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0F1AAF">
        <w:rPr>
          <w:rFonts w:ascii="Times New Roman" w:hAnsi="Times New Roman" w:cs="Times New Roman"/>
          <w:b/>
        </w:rPr>
        <w:t>Mayo</w:t>
      </w:r>
      <w:r w:rsidR="004E231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202</w:t>
      </w:r>
      <w:r w:rsidR="008D0BD9">
        <w:rPr>
          <w:rFonts w:ascii="Times New Roman" w:hAnsi="Times New Roman" w:cs="Times New Roman"/>
          <w:b/>
        </w:rPr>
        <w:t>5</w:t>
      </w:r>
    </w:p>
    <w:p w14:paraId="046499E7" w14:textId="0E2C7001" w:rsidR="008D0BD9" w:rsidRDefault="004E5D2F" w:rsidP="00154D88">
      <w:pPr>
        <w:jc w:val="center"/>
        <w:rPr>
          <w:rFonts w:ascii="Times New Roman" w:hAnsi="Times New Roman" w:cs="Times New Roman"/>
          <w:b/>
        </w:rPr>
      </w:pPr>
      <w:r w:rsidRPr="004E5D2F">
        <w:rPr>
          <w:noProof/>
        </w:rPr>
        <w:drawing>
          <wp:inline distT="0" distB="0" distL="0" distR="0" wp14:anchorId="0461D8DF" wp14:editId="346A592D">
            <wp:extent cx="5890868" cy="92202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991" cy="92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DD87" w14:textId="19A7D9DA" w:rsidR="00EE1D6C" w:rsidRPr="004F2262" w:rsidRDefault="00743561" w:rsidP="00154D88">
      <w:pPr>
        <w:jc w:val="center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495E7D" w:rsidRPr="004F2262">
        <w:rPr>
          <w:rFonts w:ascii="Times New Roman" w:hAnsi="Times New Roman" w:cs="Times New Roman"/>
          <w:sz w:val="16"/>
          <w:szCs w:val="16"/>
        </w:rPr>
        <w:t xml:space="preserve"> (UPSF)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Departamento de Coordinación de Sedes</w:t>
      </w:r>
    </w:p>
    <w:p w14:paraId="697DC424" w14:textId="77777777" w:rsidR="00743561" w:rsidRDefault="00743561" w:rsidP="00154D88">
      <w:pPr>
        <w:jc w:val="center"/>
        <w:rPr>
          <w:rFonts w:ascii="Times New Roman" w:hAnsi="Times New Roman" w:cs="Times New Roman"/>
          <w:b/>
        </w:rPr>
      </w:pPr>
    </w:p>
    <w:p w14:paraId="502586C9" w14:textId="631558CE" w:rsidR="00154D88" w:rsidRDefault="00154D88" w:rsidP="008A384E">
      <w:pPr>
        <w:jc w:val="both"/>
        <w:rPr>
          <w:rFonts w:ascii="Times New Roman" w:hAnsi="Times New Roman" w:cs="Times New Roman"/>
        </w:rPr>
      </w:pPr>
    </w:p>
    <w:p w14:paraId="44FCCFEC" w14:textId="77777777" w:rsidR="004E231F" w:rsidRDefault="004E231F" w:rsidP="008A384E">
      <w:pPr>
        <w:jc w:val="both"/>
        <w:rPr>
          <w:rFonts w:ascii="Times New Roman" w:hAnsi="Times New Roman" w:cs="Times New Roman"/>
        </w:rPr>
      </w:pPr>
    </w:p>
    <w:p w14:paraId="28AD226F" w14:textId="150EB4F9" w:rsidR="000D21AF" w:rsidRDefault="000D21AF" w:rsidP="008A384E">
      <w:pPr>
        <w:jc w:val="both"/>
        <w:rPr>
          <w:rFonts w:ascii="Times New Roman" w:hAnsi="Times New Roman" w:cs="Times New Roman"/>
        </w:rPr>
      </w:pPr>
    </w:p>
    <w:p w14:paraId="6C3A00DA" w14:textId="75EB67B8" w:rsidR="003471B1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62F6E88A" w14:textId="3543E926" w:rsidR="00421DF2" w:rsidRDefault="00421DF2" w:rsidP="00421DF2">
      <w:pPr>
        <w:rPr>
          <w:lang w:val="es-GT" w:eastAsia="es-MX"/>
        </w:rPr>
      </w:pPr>
    </w:p>
    <w:p w14:paraId="4C767A72" w14:textId="60A5D603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0F1AAF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 se resolvieron </w:t>
      </w:r>
      <w:r w:rsidR="000F1AAF">
        <w:rPr>
          <w:rFonts w:ascii="Times New Roman" w:hAnsi="Times New Roman" w:cs="Times New Roman"/>
        </w:rPr>
        <w:t>551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0F1AAF">
        <w:rPr>
          <w:rFonts w:ascii="Times New Roman" w:hAnsi="Times New Roman" w:cs="Times New Roman"/>
        </w:rPr>
        <w:t>60</w:t>
      </w:r>
      <w:r w:rsidRPr="00684ADE">
        <w:rPr>
          <w:rFonts w:ascii="Times New Roman" w:hAnsi="Times New Roman" w:cs="Times New Roman"/>
        </w:rPr>
        <w:t xml:space="preserve"> por mediación y </w:t>
      </w:r>
      <w:r w:rsidR="000F1AAF">
        <w:rPr>
          <w:rFonts w:ascii="Times New Roman" w:hAnsi="Times New Roman" w:cs="Times New Roman"/>
        </w:rPr>
        <w:t>491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0F1AAF">
        <w:rPr>
          <w:rFonts w:ascii="Times New Roman" w:hAnsi="Times New Roman" w:cs="Times New Roman"/>
        </w:rPr>
        <w:t>471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0F1AAF">
        <w:rPr>
          <w:rFonts w:ascii="Times New Roman" w:hAnsi="Times New Roman" w:cs="Times New Roman"/>
        </w:rPr>
        <w:t>80</w:t>
      </w:r>
      <w:r w:rsidRPr="00684ADE">
        <w:rPr>
          <w:rFonts w:ascii="Times New Roman" w:hAnsi="Times New Roman" w:cs="Times New Roman"/>
        </w:rPr>
        <w:t xml:space="preserve">. 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684ADE">
        <w:rPr>
          <w:rFonts w:ascii="Times New Roman" w:hAnsi="Times New Roman" w:cs="Times New Roman"/>
        </w:rPr>
        <w:t xml:space="preserve">consultas a </w:t>
      </w:r>
      <w:r w:rsidR="000F1AAF">
        <w:rPr>
          <w:rFonts w:ascii="Times New Roman" w:hAnsi="Times New Roman" w:cs="Times New Roman"/>
        </w:rPr>
        <w:t>3,032</w:t>
      </w:r>
      <w:r w:rsidR="004E231F">
        <w:rPr>
          <w:rFonts w:ascii="Times New Roman" w:hAnsi="Times New Roman" w:cs="Times New Roman"/>
        </w:rPr>
        <w:t xml:space="preserve"> consumidores</w:t>
      </w:r>
      <w:r w:rsidR="00E46736">
        <w:rPr>
          <w:rFonts w:ascii="Times New Roman" w:hAnsi="Times New Roman" w:cs="Times New Roman"/>
        </w:rPr>
        <w:t>, usuarios y tarjetahabientes</w:t>
      </w:r>
      <w:r w:rsidRPr="00684ADE">
        <w:rPr>
          <w:rFonts w:ascii="Times New Roman" w:hAnsi="Times New Roman" w:cs="Times New Roman"/>
        </w:rPr>
        <w:t>, según se detalla en el cuadro siguiente:</w:t>
      </w:r>
    </w:p>
    <w:p w14:paraId="2683B92B" w14:textId="77777777" w:rsidR="00871DCE" w:rsidRDefault="00871DCE" w:rsidP="008A384E">
      <w:pPr>
        <w:jc w:val="center"/>
        <w:rPr>
          <w:rFonts w:ascii="Times New Roman" w:hAnsi="Times New Roman" w:cs="Times New Roman"/>
          <w:b/>
        </w:rPr>
      </w:pPr>
    </w:p>
    <w:p w14:paraId="65490327" w14:textId="418C066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7</w:t>
      </w:r>
    </w:p>
    <w:p w14:paraId="61F94175" w14:textId="3F5654FC" w:rsidR="008A384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6E0719BE" w14:textId="27D5F5C4" w:rsidR="008D0BD9" w:rsidRPr="00684ADE" w:rsidRDefault="004E7C79" w:rsidP="0089328D">
      <w:pPr>
        <w:jc w:val="center"/>
        <w:rPr>
          <w:rFonts w:ascii="Times New Roman" w:hAnsi="Times New Roman" w:cs="Times New Roman"/>
          <w:b/>
        </w:rPr>
      </w:pPr>
      <w:r w:rsidRPr="004E7C79">
        <w:rPr>
          <w:noProof/>
        </w:rPr>
        <w:drawing>
          <wp:inline distT="0" distB="0" distL="0" distR="0" wp14:anchorId="405CF2D5" wp14:editId="135C7DDC">
            <wp:extent cx="5930245" cy="1915160"/>
            <wp:effectExtent l="0" t="0" r="0" b="889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683" cy="192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38ED13DF" w:rsidR="007D3414" w:rsidRPr="004F2262" w:rsidRDefault="00395459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7D3414" w:rsidRPr="004F2262">
        <w:rPr>
          <w:rFonts w:ascii="Times New Roman" w:hAnsi="Times New Roman" w:cs="Times New Roman"/>
          <w:sz w:val="16"/>
          <w:szCs w:val="16"/>
        </w:rPr>
        <w:t>Legal</w:t>
      </w:r>
      <w:r w:rsidRPr="004F2262">
        <w:rPr>
          <w:rFonts w:ascii="Times New Roman" w:hAnsi="Times New Roman" w:cs="Times New Roman"/>
          <w:sz w:val="16"/>
          <w:szCs w:val="16"/>
        </w:rPr>
        <w:t>,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>, 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B75D5A" w:rsidRPr="004F2262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6181E8E6" w14:textId="3E338D27" w:rsidR="00395459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5ABAD98C" w14:textId="77777777" w:rsidR="004E231F" w:rsidRPr="009C4311" w:rsidRDefault="004E231F" w:rsidP="003471B1">
      <w:pPr>
        <w:ind w:left="360"/>
        <w:rPr>
          <w:rFonts w:ascii="Arial" w:hAnsi="Arial" w:cs="Arial"/>
          <w:sz w:val="16"/>
          <w:szCs w:val="16"/>
        </w:rPr>
      </w:pPr>
    </w:p>
    <w:p w14:paraId="55ABB370" w14:textId="7CCD7DEA" w:rsidR="00EE1D6C" w:rsidRPr="005A26E2" w:rsidRDefault="00EE1D6C" w:rsidP="00EE1D6C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0F1AAF">
        <w:rPr>
          <w:rFonts w:ascii="Times New Roman" w:hAnsi="Times New Roman" w:cs="Times New Roman"/>
        </w:rPr>
        <w:t>2,219</w:t>
      </w:r>
      <w:r w:rsidRPr="005A26E2">
        <w:rPr>
          <w:rFonts w:ascii="Times New Roman" w:hAnsi="Times New Roman" w:cs="Times New Roman"/>
        </w:rPr>
        <w:t xml:space="preserve"> quejas; </w:t>
      </w:r>
      <w:r w:rsidR="000F1AAF">
        <w:rPr>
          <w:rFonts w:ascii="Times New Roman" w:hAnsi="Times New Roman" w:cs="Times New Roman"/>
        </w:rPr>
        <w:t>345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836E3A">
        <w:rPr>
          <w:rFonts w:ascii="Times New Roman" w:hAnsi="Times New Roman" w:cs="Times New Roman"/>
        </w:rPr>
        <w:t>1,</w:t>
      </w:r>
      <w:r w:rsidR="000F1AAF">
        <w:rPr>
          <w:rFonts w:ascii="Times New Roman" w:hAnsi="Times New Roman" w:cs="Times New Roman"/>
        </w:rPr>
        <w:t>874</w:t>
      </w:r>
      <w:r w:rsidRPr="005A26E2">
        <w:rPr>
          <w:rFonts w:ascii="Times New Roman" w:hAnsi="Times New Roman" w:cs="Times New Roman"/>
        </w:rPr>
        <w:t xml:space="preserve"> por conciliación; de las cuales</w:t>
      </w:r>
      <w:r w:rsidR="00086000">
        <w:rPr>
          <w:rFonts w:ascii="Times New Roman" w:hAnsi="Times New Roman" w:cs="Times New Roman"/>
        </w:rPr>
        <w:t xml:space="preserve"> fueron</w:t>
      </w:r>
      <w:r w:rsidRPr="005A26E2">
        <w:rPr>
          <w:rFonts w:ascii="Times New Roman" w:hAnsi="Times New Roman" w:cs="Times New Roman"/>
        </w:rPr>
        <w:t xml:space="preserve"> resueltas en la Sede Central </w:t>
      </w:r>
      <w:r w:rsidR="00836E3A">
        <w:rPr>
          <w:rFonts w:ascii="Times New Roman" w:hAnsi="Times New Roman" w:cs="Times New Roman"/>
        </w:rPr>
        <w:t>1,</w:t>
      </w:r>
      <w:r w:rsidR="008A5372">
        <w:rPr>
          <w:rFonts w:ascii="Times New Roman" w:hAnsi="Times New Roman" w:cs="Times New Roman"/>
        </w:rPr>
        <w:t>891</w:t>
      </w:r>
      <w:r w:rsidRPr="005A26E2">
        <w:rPr>
          <w:rFonts w:ascii="Times New Roman" w:hAnsi="Times New Roman" w:cs="Times New Roman"/>
        </w:rPr>
        <w:t xml:space="preserve"> y en las Sedes Departamentales </w:t>
      </w:r>
      <w:r w:rsidR="008A5372">
        <w:rPr>
          <w:rFonts w:ascii="Times New Roman" w:hAnsi="Times New Roman" w:cs="Times New Roman"/>
        </w:rPr>
        <w:t>328</w:t>
      </w:r>
      <w:r w:rsidRPr="005A26E2">
        <w:rPr>
          <w:rFonts w:ascii="Times New Roman" w:hAnsi="Times New Roman" w:cs="Times New Roman"/>
        </w:rPr>
        <w:t xml:space="preserve">.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5A26E2">
        <w:rPr>
          <w:rFonts w:ascii="Times New Roman" w:hAnsi="Times New Roman" w:cs="Times New Roman"/>
        </w:rPr>
        <w:t xml:space="preserve">consultas a </w:t>
      </w:r>
      <w:r w:rsidR="008A5372">
        <w:rPr>
          <w:rFonts w:ascii="Times New Roman" w:hAnsi="Times New Roman" w:cs="Times New Roman"/>
        </w:rPr>
        <w:t>17,626</w:t>
      </w:r>
      <w:r w:rsidRPr="005A26E2">
        <w:rPr>
          <w:rFonts w:ascii="Times New Roman" w:hAnsi="Times New Roman" w:cs="Times New Roman"/>
        </w:rPr>
        <w:t xml:space="preserve"> consumidores</w:t>
      </w:r>
      <w:r w:rsidR="005A6D8E">
        <w:rPr>
          <w:rFonts w:ascii="Times New Roman" w:hAnsi="Times New Roman" w:cs="Times New Roman"/>
        </w:rPr>
        <w:t xml:space="preserve">, </w:t>
      </w:r>
      <w:r w:rsidRPr="005A26E2">
        <w:rPr>
          <w:rFonts w:ascii="Times New Roman" w:hAnsi="Times New Roman" w:cs="Times New Roman"/>
        </w:rPr>
        <w:t>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370FB7D7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</w:p>
    <w:p w14:paraId="710C7903" w14:textId="77777777" w:rsidR="00EE1D6C" w:rsidRPr="00684ADE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8</w:t>
      </w:r>
    </w:p>
    <w:p w14:paraId="068B53FE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A21D9F8" w14:textId="4809A58A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8A5372">
        <w:rPr>
          <w:rFonts w:ascii="Times New Roman" w:hAnsi="Times New Roman" w:cs="Times New Roman"/>
          <w:b/>
        </w:rPr>
        <w:t>Mayo</w:t>
      </w:r>
      <w:r>
        <w:rPr>
          <w:rFonts w:ascii="Times New Roman" w:hAnsi="Times New Roman" w:cs="Times New Roman"/>
          <w:b/>
        </w:rPr>
        <w:t xml:space="preserve"> 2025</w:t>
      </w:r>
    </w:p>
    <w:p w14:paraId="27961C79" w14:textId="4263431D" w:rsidR="009C4311" w:rsidRDefault="004E7C79" w:rsidP="00910D9A">
      <w:pPr>
        <w:jc w:val="center"/>
        <w:rPr>
          <w:rFonts w:ascii="Times New Roman" w:hAnsi="Times New Roman" w:cs="Times New Roman"/>
          <w:b/>
        </w:rPr>
      </w:pPr>
      <w:r w:rsidRPr="004E7C79">
        <w:rPr>
          <w:noProof/>
        </w:rPr>
        <w:drawing>
          <wp:inline distT="0" distB="0" distL="0" distR="0" wp14:anchorId="6B98860F" wp14:editId="47178849">
            <wp:extent cx="5971276" cy="1987826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6" cy="19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E1F4" w14:textId="6DF9AC7D" w:rsidR="00EE1D6C" w:rsidRPr="004F2262" w:rsidRDefault="00536C3F" w:rsidP="00536C3F">
      <w:pPr>
        <w:rPr>
          <w:rFonts w:ascii="Times New Roman" w:hAnsi="Times New Roman" w:cs="Times New Roman"/>
          <w:b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Servicios al Consumidor, Legal,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>, 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B75D5A" w:rsidRPr="004F2262">
        <w:rPr>
          <w:rFonts w:ascii="Times New Roman" w:hAnsi="Times New Roman" w:cs="Times New Roman"/>
          <w:sz w:val="16"/>
          <w:szCs w:val="16"/>
        </w:rPr>
        <w:t xml:space="preserve">Departamento de </w:t>
      </w:r>
      <w:r w:rsidRPr="004F2262">
        <w:rPr>
          <w:rFonts w:ascii="Times New Roman" w:hAnsi="Times New Roman" w:cs="Times New Roman"/>
          <w:sz w:val="16"/>
          <w:szCs w:val="16"/>
        </w:rPr>
        <w:t>Coordinación de Sedes</w:t>
      </w:r>
    </w:p>
    <w:p w14:paraId="1557CAFA" w14:textId="697244C8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5FC5AB22" w14:textId="77777777" w:rsidR="00AD7DD1" w:rsidRDefault="00AD7DD1" w:rsidP="00910D9A">
      <w:pPr>
        <w:jc w:val="center"/>
        <w:rPr>
          <w:rFonts w:ascii="Times New Roman" w:hAnsi="Times New Roman" w:cs="Times New Roman"/>
          <w:b/>
        </w:rPr>
      </w:pPr>
    </w:p>
    <w:p w14:paraId="352D21D6" w14:textId="1F77DE8B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2B4F6F74" w14:textId="35208B68" w:rsidR="002B1F6F" w:rsidRDefault="00B7662C" w:rsidP="00EE1D6C">
      <w:pPr>
        <w:jc w:val="center"/>
        <w:rPr>
          <w:noProof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0DE96DE7" w14:textId="19C77B89" w:rsidR="009B28FB" w:rsidRPr="00EE1D6C" w:rsidRDefault="004E7C79" w:rsidP="00EE1D6C">
      <w:pPr>
        <w:jc w:val="center"/>
        <w:rPr>
          <w:rFonts w:ascii="Arial" w:hAnsi="Arial" w:cs="Arial"/>
          <w:b/>
          <w:sz w:val="22"/>
          <w:szCs w:val="22"/>
        </w:rPr>
      </w:pPr>
      <w:r w:rsidRPr="004E7C79">
        <w:rPr>
          <w:noProof/>
        </w:rPr>
        <w:drawing>
          <wp:inline distT="0" distB="0" distL="0" distR="0" wp14:anchorId="11D962F8" wp14:editId="40758FF6">
            <wp:extent cx="5470498" cy="2811681"/>
            <wp:effectExtent l="0" t="0" r="0" b="825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267" cy="281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12A55372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2C008D92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32F8F498" w:rsidR="002B1F6F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8A5372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</w:t>
      </w:r>
      <w:r w:rsidR="00895206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684ADE">
        <w:rPr>
          <w:rFonts w:ascii="Times New Roman" w:hAnsi="Times New Roman" w:cs="Times New Roman"/>
        </w:rPr>
        <w:t>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161FFE">
        <w:rPr>
          <w:rFonts w:ascii="Times New Roman" w:hAnsi="Times New Roman" w:cs="Times New Roman"/>
        </w:rPr>
        <w:t>doce</w:t>
      </w:r>
      <w:r w:rsidR="00871DCE">
        <w:rPr>
          <w:rFonts w:ascii="Times New Roman" w:hAnsi="Times New Roman" w:cs="Times New Roman"/>
        </w:rPr>
        <w:t xml:space="preserve"> </w:t>
      </w:r>
      <w:r w:rsidR="00A152B5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161FFE">
        <w:rPr>
          <w:rFonts w:ascii="Times New Roman" w:hAnsi="Times New Roman" w:cs="Times New Roman"/>
        </w:rPr>
        <w:t xml:space="preserve">setecientos noventa y dos </w:t>
      </w:r>
      <w:r w:rsidR="004E243D">
        <w:rPr>
          <w:rFonts w:ascii="Times New Roman" w:hAnsi="Times New Roman" w:cs="Times New Roman"/>
        </w:rPr>
        <w:t xml:space="preserve">mil </w:t>
      </w:r>
      <w:r w:rsidR="00161FFE">
        <w:rPr>
          <w:rFonts w:ascii="Times New Roman" w:hAnsi="Times New Roman" w:cs="Times New Roman"/>
        </w:rPr>
        <w:t>cuarenta y siete</w:t>
      </w:r>
      <w:r w:rsidR="004E243D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161FFE">
        <w:rPr>
          <w:rFonts w:ascii="Times New Roman" w:hAnsi="Times New Roman" w:cs="Times New Roman"/>
        </w:rPr>
        <w:t xml:space="preserve">dieciséis </w:t>
      </w:r>
      <w:r w:rsidR="0075305F" w:rsidRPr="00684ADE">
        <w:rPr>
          <w:rFonts w:ascii="Times New Roman" w:hAnsi="Times New Roman" w:cs="Times New Roman"/>
        </w:rPr>
        <w:t>centavos</w:t>
      </w:r>
      <w:r w:rsidRPr="00684ADE">
        <w:rPr>
          <w:rFonts w:ascii="Times New Roman" w:hAnsi="Times New Roman" w:cs="Times New Roman"/>
        </w:rPr>
        <w:t xml:space="preserve"> (Q.</w:t>
      </w:r>
      <w:r w:rsidR="008A5372">
        <w:rPr>
          <w:rFonts w:ascii="Times New Roman" w:hAnsi="Times New Roman" w:cs="Times New Roman"/>
        </w:rPr>
        <w:t>12</w:t>
      </w:r>
      <w:r w:rsidR="004E243D">
        <w:rPr>
          <w:rFonts w:ascii="Times New Roman" w:hAnsi="Times New Roman" w:cs="Times New Roman"/>
        </w:rPr>
        <w:t>,</w:t>
      </w:r>
      <w:r w:rsidR="008A5372">
        <w:rPr>
          <w:rFonts w:ascii="Times New Roman" w:hAnsi="Times New Roman" w:cs="Times New Roman"/>
        </w:rPr>
        <w:t>792,047.16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</w:t>
      </w:r>
      <w:r w:rsidR="004E243D">
        <w:rPr>
          <w:rFonts w:ascii="Times New Roman" w:hAnsi="Times New Roman" w:cs="Times New Roman"/>
        </w:rPr>
        <w:t>.</w:t>
      </w:r>
      <w:r w:rsidR="008A5372">
        <w:rPr>
          <w:rFonts w:ascii="Times New Roman" w:hAnsi="Times New Roman" w:cs="Times New Roman"/>
        </w:rPr>
        <w:t>11</w:t>
      </w:r>
      <w:r w:rsidR="00176F3A">
        <w:rPr>
          <w:rFonts w:ascii="Times New Roman" w:hAnsi="Times New Roman" w:cs="Times New Roman"/>
        </w:rPr>
        <w:t>,</w:t>
      </w:r>
      <w:r w:rsidR="008A5372">
        <w:rPr>
          <w:rFonts w:ascii="Times New Roman" w:hAnsi="Times New Roman" w:cs="Times New Roman"/>
        </w:rPr>
        <w:t>141,754.10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4E243D">
        <w:rPr>
          <w:rFonts w:ascii="Times New Roman" w:hAnsi="Times New Roman" w:cs="Times New Roman"/>
        </w:rPr>
        <w:t>1,</w:t>
      </w:r>
      <w:r w:rsidR="008A5372">
        <w:rPr>
          <w:rFonts w:ascii="Times New Roman" w:hAnsi="Times New Roman" w:cs="Times New Roman"/>
        </w:rPr>
        <w:t>650,293.06</w:t>
      </w:r>
      <w:r w:rsidR="005E077E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como se puede apreciar en el cuadro siguiente:</w:t>
      </w:r>
    </w:p>
    <w:p w14:paraId="481F5407" w14:textId="77777777" w:rsidR="00D77AB1" w:rsidRPr="00684ADE" w:rsidRDefault="00D77AB1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15F568CE" w14:textId="749E1E2B" w:rsidR="002B1F6F" w:rsidRPr="00AD7168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D7168">
        <w:rPr>
          <w:rFonts w:ascii="Times New Roman" w:hAnsi="Times New Roman" w:cs="Times New Roman"/>
          <w:b/>
        </w:rPr>
        <w:t xml:space="preserve">Cuadro </w:t>
      </w:r>
      <w:r w:rsidR="00051523" w:rsidRPr="00AD7168">
        <w:rPr>
          <w:rFonts w:ascii="Times New Roman" w:hAnsi="Times New Roman" w:cs="Times New Roman"/>
          <w:b/>
        </w:rPr>
        <w:t>9</w:t>
      </w:r>
    </w:p>
    <w:p w14:paraId="30DAA459" w14:textId="57485339" w:rsidR="002865CB" w:rsidRDefault="002B1F6F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AD7168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CAD98D0" w14:textId="759FE175" w:rsidR="0028007B" w:rsidRDefault="004707A1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4707A1">
        <w:rPr>
          <w:noProof/>
        </w:rPr>
        <w:drawing>
          <wp:inline distT="0" distB="0" distL="0" distR="0" wp14:anchorId="16C8B155" wp14:editId="7CDC66C0">
            <wp:extent cx="5971540" cy="2379766"/>
            <wp:effectExtent l="19050" t="19050" r="10160" b="2095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409" cy="238090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11C276" w14:textId="6BE629D2" w:rsidR="00EE1D6C" w:rsidRPr="002A0E67" w:rsidRDefault="00EE1D6C" w:rsidP="002A0E67">
      <w:pPr>
        <w:jc w:val="center"/>
        <w:rPr>
          <w:rFonts w:ascii="Times New Roman" w:hAnsi="Times New Roman" w:cs="Times New Roman"/>
          <w:b/>
        </w:rPr>
      </w:pPr>
    </w:p>
    <w:p w14:paraId="0C4E68DD" w14:textId="77777777" w:rsidR="0028007B" w:rsidRDefault="0028007B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7170E5" w14:textId="77777777" w:rsidR="0028007B" w:rsidRDefault="0028007B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E35FB79" w14:textId="77777777" w:rsidR="0028007B" w:rsidRDefault="0028007B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CD03CBF" w14:textId="55A70E41" w:rsidR="004707A1" w:rsidRDefault="004707A1" w:rsidP="007D3414">
      <w:pPr>
        <w:jc w:val="both"/>
      </w:pPr>
      <w:r w:rsidRPr="004707A1">
        <w:rPr>
          <w:noProof/>
        </w:rPr>
        <w:drawing>
          <wp:inline distT="0" distB="0" distL="0" distR="0" wp14:anchorId="1844AABD" wp14:editId="41730CE7">
            <wp:extent cx="5971124" cy="4006685"/>
            <wp:effectExtent l="19050" t="19050" r="10795" b="1333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860" cy="401523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6CC1E2" w14:textId="3CCB04AA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>, Verificación y Vigilancia</w:t>
      </w:r>
      <w:r w:rsidR="00B47346">
        <w:rPr>
          <w:rFonts w:ascii="Times New Roman" w:hAnsi="Times New Roman" w:cs="Times New Roman"/>
          <w:sz w:val="16"/>
          <w:szCs w:val="16"/>
        </w:rPr>
        <w:t>, UPSF</w:t>
      </w:r>
      <w:r w:rsidRPr="0081170D">
        <w:rPr>
          <w:rFonts w:ascii="Times New Roman" w:hAnsi="Times New Roman" w:cs="Times New Roman"/>
          <w:sz w:val="16"/>
          <w:szCs w:val="16"/>
        </w:rPr>
        <w:t xml:space="preserve"> y </w:t>
      </w:r>
      <w:r w:rsidR="00B75D5A">
        <w:rPr>
          <w:rFonts w:ascii="Times New Roman" w:hAnsi="Times New Roman" w:cs="Times New Roman"/>
          <w:sz w:val="16"/>
          <w:szCs w:val="16"/>
        </w:rPr>
        <w:t xml:space="preserve">Departamento de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5831DAEF" w14:textId="77777777" w:rsidR="009B28FB" w:rsidRDefault="009B28FB" w:rsidP="003516A3">
      <w:pPr>
        <w:jc w:val="center"/>
        <w:rPr>
          <w:rFonts w:ascii="Times New Roman" w:hAnsi="Times New Roman" w:cs="Times New Roman"/>
          <w:b/>
        </w:rPr>
      </w:pPr>
    </w:p>
    <w:p w14:paraId="7F006752" w14:textId="58C9FE69" w:rsidR="00313FB4" w:rsidRPr="00684ADE" w:rsidRDefault="003535DF" w:rsidP="003516A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33A3FC68" w14:textId="766D7A75" w:rsidR="008E00E1" w:rsidRDefault="004707A1" w:rsidP="008E00E1">
      <w:pPr>
        <w:jc w:val="center"/>
        <w:rPr>
          <w:rFonts w:ascii="Times New Roman" w:hAnsi="Times New Roman" w:cs="Times New Roman"/>
          <w:b/>
        </w:rPr>
      </w:pPr>
      <w:r w:rsidRPr="004707A1">
        <w:rPr>
          <w:noProof/>
        </w:rPr>
        <w:drawing>
          <wp:inline distT="0" distB="0" distL="0" distR="0" wp14:anchorId="2E397338" wp14:editId="27595EE6">
            <wp:extent cx="5970805" cy="3253839"/>
            <wp:effectExtent l="0" t="0" r="0" b="381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676" cy="325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FD0BD" w14:textId="77777777" w:rsidR="00AD7DD1" w:rsidRDefault="00AD7DD1" w:rsidP="008E00E1">
      <w:pPr>
        <w:jc w:val="center"/>
        <w:rPr>
          <w:rFonts w:ascii="Times New Roman" w:hAnsi="Times New Roman" w:cs="Times New Roman"/>
          <w:b/>
        </w:rPr>
      </w:pPr>
    </w:p>
    <w:p w14:paraId="0CDD500F" w14:textId="77777777" w:rsidR="004E7C79" w:rsidRDefault="004E7C79" w:rsidP="008E00E1">
      <w:pPr>
        <w:jc w:val="center"/>
        <w:rPr>
          <w:rFonts w:ascii="Times New Roman" w:hAnsi="Times New Roman" w:cs="Times New Roman"/>
          <w:b/>
        </w:rPr>
      </w:pPr>
    </w:p>
    <w:p w14:paraId="4AF364C3" w14:textId="77777777" w:rsidR="00AD7DD1" w:rsidRDefault="00AD7DD1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</w:p>
    <w:p w14:paraId="20A80597" w14:textId="70C4DA30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01BA827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0A42EEBB" w14:textId="175F5341" w:rsidR="00120FFC" w:rsidRDefault="00F32285" w:rsidP="00120FFC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9068FF">
        <w:rPr>
          <w:rFonts w:ascii="Times New Roman" w:hAnsi="Times New Roman" w:cs="Times New Roman"/>
        </w:rPr>
        <w:t>mayo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</w:t>
      </w:r>
      <w:r w:rsidR="00E46736">
        <w:rPr>
          <w:rFonts w:ascii="Times New Roman" w:hAnsi="Times New Roman" w:cs="Times New Roman"/>
        </w:rPr>
        <w:t>realizó</w:t>
      </w:r>
      <w:r w:rsidR="00AD359E">
        <w:rPr>
          <w:rFonts w:ascii="Times New Roman" w:hAnsi="Times New Roman" w:cs="Times New Roman"/>
        </w:rPr>
        <w:t xml:space="preserve"> </w:t>
      </w:r>
      <w:r w:rsidR="002C4F13">
        <w:rPr>
          <w:rFonts w:ascii="Times New Roman" w:hAnsi="Times New Roman" w:cs="Times New Roman"/>
        </w:rPr>
        <w:t>15</w:t>
      </w:r>
      <w:r w:rsidR="0049342F">
        <w:rPr>
          <w:rFonts w:ascii="Times New Roman" w:hAnsi="Times New Roman" w:cs="Times New Roman"/>
        </w:rPr>
        <w:t xml:space="preserve"> </w:t>
      </w:r>
      <w:r w:rsidR="005E02DE">
        <w:rPr>
          <w:rFonts w:ascii="Times New Roman" w:hAnsi="Times New Roman" w:cs="Times New Roman"/>
        </w:rPr>
        <w:t>conferencias de</w:t>
      </w:r>
      <w:r w:rsidR="0049342F">
        <w:rPr>
          <w:rFonts w:ascii="Times New Roman" w:hAnsi="Times New Roman" w:cs="Times New Roman"/>
        </w:rPr>
        <w:t xml:space="preserve"> los derechos de los consumidores</w:t>
      </w:r>
      <w:r w:rsidR="00D37973">
        <w:rPr>
          <w:rFonts w:ascii="Times New Roman" w:hAnsi="Times New Roman" w:cs="Times New Roman"/>
        </w:rPr>
        <w:t xml:space="preserve">, </w:t>
      </w:r>
      <w:r w:rsidR="0049342F">
        <w:rPr>
          <w:rFonts w:ascii="Times New Roman" w:hAnsi="Times New Roman" w:cs="Times New Roman"/>
        </w:rPr>
        <w:t>usuarios</w:t>
      </w:r>
      <w:r w:rsidR="00D37973">
        <w:rPr>
          <w:rFonts w:ascii="Times New Roman" w:hAnsi="Times New Roman" w:cs="Times New Roman"/>
        </w:rPr>
        <w:t xml:space="preserve"> y tarjetahabientes, así como de las </w:t>
      </w:r>
      <w:r w:rsidR="0049342F">
        <w:rPr>
          <w:rFonts w:ascii="Times New Roman" w:hAnsi="Times New Roman" w:cs="Times New Roman"/>
        </w:rPr>
        <w:t>obligaciones de los proveedores de bienes y servicios</w:t>
      </w:r>
      <w:r w:rsidR="005E02DE">
        <w:rPr>
          <w:rFonts w:ascii="Times New Roman" w:hAnsi="Times New Roman" w:cs="Times New Roman"/>
        </w:rPr>
        <w:t xml:space="preserve">, </w:t>
      </w:r>
      <w:r w:rsidR="00D37973">
        <w:rPr>
          <w:rFonts w:ascii="Times New Roman" w:hAnsi="Times New Roman" w:cs="Times New Roman"/>
        </w:rPr>
        <w:t>y</w:t>
      </w:r>
      <w:r w:rsidR="00616D60">
        <w:rPr>
          <w:rFonts w:ascii="Times New Roman" w:hAnsi="Times New Roman" w:cs="Times New Roman"/>
        </w:rPr>
        <w:t xml:space="preserve"> conferencias</w:t>
      </w:r>
      <w:r w:rsidR="005E02DE">
        <w:rPr>
          <w:rFonts w:ascii="Times New Roman" w:hAnsi="Times New Roman" w:cs="Times New Roman"/>
        </w:rPr>
        <w:t xml:space="preserve"> de </w:t>
      </w:r>
      <w:r w:rsidR="0024494C">
        <w:rPr>
          <w:rFonts w:ascii="Times New Roman" w:hAnsi="Times New Roman" w:cs="Times New Roman"/>
        </w:rPr>
        <w:t xml:space="preserve">información </w:t>
      </w:r>
      <w:r w:rsidR="0024494C" w:rsidRPr="0027305A">
        <w:rPr>
          <w:rFonts w:ascii="Times New Roman" w:hAnsi="Times New Roman" w:cs="Times New Roman"/>
        </w:rPr>
        <w:t>sobre derechos y obligaciones en materia de consumo</w:t>
      </w:r>
      <w:r w:rsidR="00120FFC">
        <w:rPr>
          <w:rFonts w:ascii="Times New Roman" w:hAnsi="Times New Roman" w:cs="Times New Roman"/>
        </w:rPr>
        <w:t xml:space="preserve">, </w:t>
      </w:r>
      <w:r w:rsidR="00120FFC" w:rsidRPr="00880E0F">
        <w:rPr>
          <w:rFonts w:ascii="Times New Roman" w:hAnsi="Times New Roman" w:cs="Times New Roman"/>
        </w:rPr>
        <w:t xml:space="preserve">asistiendo </w:t>
      </w:r>
      <w:r w:rsidR="002C4F13">
        <w:rPr>
          <w:rFonts w:ascii="Times New Roman" w:hAnsi="Times New Roman" w:cs="Times New Roman"/>
        </w:rPr>
        <w:t>3,689</w:t>
      </w:r>
      <w:r w:rsidR="00120FFC" w:rsidRPr="00880E0F">
        <w:rPr>
          <w:rFonts w:ascii="Times New Roman" w:hAnsi="Times New Roman" w:cs="Times New Roman"/>
        </w:rPr>
        <w:t xml:space="preserve"> personas y se distribuyeron </w:t>
      </w:r>
      <w:r w:rsidR="002C4F13">
        <w:rPr>
          <w:rFonts w:ascii="Times New Roman" w:hAnsi="Times New Roman" w:cs="Times New Roman"/>
        </w:rPr>
        <w:t>12</w:t>
      </w:r>
      <w:r w:rsidR="00F50951">
        <w:rPr>
          <w:rFonts w:ascii="Times New Roman" w:hAnsi="Times New Roman" w:cs="Times New Roman"/>
        </w:rPr>
        <w:t>,</w:t>
      </w:r>
      <w:r w:rsidR="002C4F13">
        <w:rPr>
          <w:rFonts w:ascii="Times New Roman" w:hAnsi="Times New Roman" w:cs="Times New Roman"/>
        </w:rPr>
        <w:t>675</w:t>
      </w:r>
      <w:r w:rsidR="00120FFC" w:rsidRPr="00880E0F">
        <w:rPr>
          <w:rFonts w:ascii="Times New Roman" w:hAnsi="Times New Roman" w:cs="Times New Roman"/>
        </w:rPr>
        <w:t xml:space="preserve"> documentos de material educativo e informativo, consistente en trifoliares, cuadrifoliares, guías del consumidor, entre otros.</w:t>
      </w:r>
    </w:p>
    <w:p w14:paraId="503A353F" w14:textId="64198D26" w:rsidR="00092C63" w:rsidRDefault="00092C63" w:rsidP="00120FFC">
      <w:pPr>
        <w:jc w:val="both"/>
        <w:rPr>
          <w:rFonts w:ascii="Times New Roman" w:hAnsi="Times New Roman" w:cs="Times New Roman"/>
        </w:rPr>
      </w:pPr>
    </w:p>
    <w:p w14:paraId="6DEE3122" w14:textId="668CDCD4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2C4F13">
        <w:rPr>
          <w:rFonts w:ascii="Times New Roman" w:hAnsi="Times New Roman" w:cs="Times New Roman"/>
        </w:rPr>
        <w:t>2</w:t>
      </w:r>
      <w:r w:rsidR="00176F3A">
        <w:rPr>
          <w:rFonts w:ascii="Times New Roman" w:hAnsi="Times New Roman" w:cs="Times New Roman"/>
        </w:rPr>
        <w:t>5</w:t>
      </w:r>
      <w:r w:rsidR="00272F85" w:rsidRPr="00783719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 xml:space="preserve">conferencias </w:t>
      </w:r>
      <w:r w:rsidR="005E02DE">
        <w:rPr>
          <w:rFonts w:ascii="Times New Roman" w:hAnsi="Times New Roman" w:cs="Times New Roman"/>
        </w:rPr>
        <w:t xml:space="preserve">de los derechos de los consumidores y usuarios y obligaciones de los proveedores de bienes y servicios, </w:t>
      </w:r>
      <w:r w:rsidR="00D37973">
        <w:rPr>
          <w:rFonts w:ascii="Times New Roman" w:hAnsi="Times New Roman" w:cs="Times New Roman"/>
        </w:rPr>
        <w:t xml:space="preserve">asistiendo </w:t>
      </w:r>
      <w:r w:rsidR="002C4F13">
        <w:rPr>
          <w:rFonts w:ascii="Times New Roman" w:hAnsi="Times New Roman" w:cs="Times New Roman"/>
        </w:rPr>
        <w:t>871</w:t>
      </w:r>
      <w:r w:rsidR="00A310A8" w:rsidRPr="00783719">
        <w:rPr>
          <w:rFonts w:ascii="Times New Roman" w:hAnsi="Times New Roman" w:cs="Times New Roman"/>
        </w:rPr>
        <w:t xml:space="preserve"> </w:t>
      </w:r>
      <w:r w:rsidR="00225AED" w:rsidRPr="00783719">
        <w:rPr>
          <w:rFonts w:ascii="Times New Roman" w:hAnsi="Times New Roman" w:cs="Times New Roman"/>
        </w:rPr>
        <w:t xml:space="preserve">personas </w:t>
      </w:r>
      <w:r w:rsidR="00225AED">
        <w:rPr>
          <w:rFonts w:ascii="Times New Roman" w:hAnsi="Times New Roman" w:cs="Times New Roman"/>
        </w:rPr>
        <w:t>y</w:t>
      </w:r>
      <w:r w:rsidR="00C7749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se distribuyó </w:t>
      </w:r>
      <w:r w:rsidR="002C4F13">
        <w:rPr>
          <w:rFonts w:ascii="Times New Roman" w:hAnsi="Times New Roman" w:cs="Times New Roman"/>
        </w:rPr>
        <w:t>2,892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4500AE72" w14:textId="77777777" w:rsidR="00AD7DD1" w:rsidRDefault="00AD7DD1" w:rsidP="008A63B8">
      <w:pPr>
        <w:jc w:val="both"/>
        <w:rPr>
          <w:rFonts w:ascii="Times New Roman" w:hAnsi="Times New Roman" w:cs="Times New Roman"/>
        </w:rPr>
      </w:pPr>
    </w:p>
    <w:p w14:paraId="69CACC5B" w14:textId="240EA4F7" w:rsidR="00E71956" w:rsidRDefault="00E71956" w:rsidP="008A63B8">
      <w:pPr>
        <w:jc w:val="both"/>
        <w:rPr>
          <w:rFonts w:ascii="Times New Roman" w:hAnsi="Times New Roman" w:cs="Times New Roman"/>
        </w:rPr>
      </w:pPr>
    </w:p>
    <w:p w14:paraId="1421F8D9" w14:textId="55488EF8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10</w:t>
      </w:r>
    </w:p>
    <w:p w14:paraId="76544D3C" w14:textId="60A9C25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Conferencias, Asistentes y Material Educativo-Informativo</w:t>
      </w:r>
    </w:p>
    <w:p w14:paraId="23EF891B" w14:textId="24DC41FE" w:rsidR="000251B0" w:rsidRDefault="004E7C79" w:rsidP="002B1F6F">
      <w:pPr>
        <w:jc w:val="center"/>
        <w:rPr>
          <w:rFonts w:ascii="Times New Roman" w:hAnsi="Times New Roman" w:cs="Times New Roman"/>
          <w:b/>
        </w:rPr>
      </w:pPr>
      <w:r w:rsidRPr="004E7C79">
        <w:rPr>
          <w:noProof/>
        </w:rPr>
        <w:drawing>
          <wp:inline distT="0" distB="0" distL="0" distR="0" wp14:anchorId="3286A22B" wp14:editId="6BB16250">
            <wp:extent cx="5169099" cy="236982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217" cy="23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07D8AD08" w:rsidR="00AB0E67" w:rsidRPr="00662E53" w:rsidRDefault="00C0384A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D7DD1">
        <w:rPr>
          <w:rFonts w:ascii="Times New Roman" w:hAnsi="Times New Roman" w:cs="Times New Roman"/>
          <w:b/>
        </w:rPr>
        <w:t xml:space="preserve">    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50F7D4C6" w:rsidR="0053757F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AAA245" w14:textId="032011F4" w:rsidR="00AD7DD1" w:rsidRDefault="00AD7DD1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05D6BCD" w14:textId="77777777" w:rsidR="00AD7DD1" w:rsidRPr="00AB0E67" w:rsidRDefault="00AD7DD1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D88948A" w14:textId="77741305" w:rsidR="000251B0" w:rsidRPr="00E4007C" w:rsidRDefault="000251B0" w:rsidP="000251B0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9936CB">
        <w:rPr>
          <w:rFonts w:ascii="Times New Roman" w:hAnsi="Times New Roman" w:cs="Times New Roman"/>
        </w:rPr>
        <w:t>1</w:t>
      </w:r>
      <w:r w:rsidR="002C4F13">
        <w:rPr>
          <w:rFonts w:ascii="Times New Roman" w:hAnsi="Times New Roman" w:cs="Times New Roman"/>
        </w:rPr>
        <w:t>9</w:t>
      </w:r>
      <w:r w:rsidR="00D37973">
        <w:rPr>
          <w:rFonts w:ascii="Times New Roman" w:hAnsi="Times New Roman" w:cs="Times New Roman"/>
        </w:rPr>
        <w:t>2</w:t>
      </w:r>
      <w:r w:rsidRPr="00E4007C">
        <w:rPr>
          <w:rFonts w:ascii="Times New Roman" w:hAnsi="Times New Roman" w:cs="Times New Roman"/>
        </w:rPr>
        <w:t xml:space="preserve"> conferencias </w:t>
      </w:r>
      <w:r w:rsidR="00AD359E">
        <w:rPr>
          <w:rFonts w:ascii="Times New Roman" w:hAnsi="Times New Roman" w:cs="Times New Roman"/>
        </w:rPr>
        <w:t xml:space="preserve">de </w:t>
      </w:r>
      <w:r w:rsidR="005E02DE">
        <w:rPr>
          <w:rFonts w:ascii="Times New Roman" w:hAnsi="Times New Roman" w:cs="Times New Roman"/>
        </w:rPr>
        <w:t>los derechos de los consumidores</w:t>
      </w:r>
      <w:r w:rsidR="00E71956">
        <w:rPr>
          <w:rFonts w:ascii="Times New Roman" w:hAnsi="Times New Roman" w:cs="Times New Roman"/>
        </w:rPr>
        <w:t xml:space="preserve">, </w:t>
      </w:r>
      <w:r w:rsidR="005E02DE">
        <w:rPr>
          <w:rFonts w:ascii="Times New Roman" w:hAnsi="Times New Roman" w:cs="Times New Roman"/>
        </w:rPr>
        <w:t>usuarios</w:t>
      </w:r>
      <w:r w:rsidR="00E71956">
        <w:rPr>
          <w:rFonts w:ascii="Times New Roman" w:hAnsi="Times New Roman" w:cs="Times New Roman"/>
        </w:rPr>
        <w:t xml:space="preserve"> y tarjetahabientes, de las </w:t>
      </w:r>
      <w:r w:rsidR="005E02DE">
        <w:rPr>
          <w:rFonts w:ascii="Times New Roman" w:hAnsi="Times New Roman" w:cs="Times New Roman"/>
        </w:rPr>
        <w:t xml:space="preserve">obligaciones de los proveedores de bienes y servicios, así como conferencias </w:t>
      </w:r>
      <w:r w:rsidR="00616D60">
        <w:rPr>
          <w:rFonts w:ascii="Times New Roman" w:hAnsi="Times New Roman" w:cs="Times New Roman"/>
        </w:rPr>
        <w:t>de información</w:t>
      </w:r>
      <w:r w:rsidR="00AD359E">
        <w:rPr>
          <w:rFonts w:ascii="Times New Roman" w:hAnsi="Times New Roman" w:cs="Times New Roman"/>
        </w:rPr>
        <w:t xml:space="preserve"> </w:t>
      </w:r>
      <w:r w:rsidR="00AD359E" w:rsidRPr="0027305A">
        <w:rPr>
          <w:rFonts w:ascii="Times New Roman" w:hAnsi="Times New Roman" w:cs="Times New Roman"/>
        </w:rPr>
        <w:t>sobre derechos y obligaciones en materia de consumo</w:t>
      </w:r>
      <w:r w:rsidR="005E02DE">
        <w:rPr>
          <w:rFonts w:ascii="Times New Roman" w:hAnsi="Times New Roman" w:cs="Times New Roman"/>
        </w:rPr>
        <w:t xml:space="preserve">, </w:t>
      </w:r>
      <w:r w:rsidRPr="00E4007C">
        <w:rPr>
          <w:rFonts w:ascii="Times New Roman" w:hAnsi="Times New Roman" w:cs="Times New Roman"/>
        </w:rPr>
        <w:t xml:space="preserve">siendo el total de asistentes de </w:t>
      </w:r>
      <w:r w:rsidR="002C4F13">
        <w:rPr>
          <w:rFonts w:ascii="Times New Roman" w:hAnsi="Times New Roman" w:cs="Times New Roman"/>
        </w:rPr>
        <w:t>10,274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2C4F13">
        <w:rPr>
          <w:rFonts w:ascii="Times New Roman" w:hAnsi="Times New Roman" w:cs="Times New Roman"/>
        </w:rPr>
        <w:t>53,154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04852E9" w14:textId="1E72C155" w:rsidR="000251B0" w:rsidRDefault="000251B0" w:rsidP="000251B0">
      <w:pPr>
        <w:jc w:val="center"/>
        <w:rPr>
          <w:rFonts w:ascii="Times New Roman" w:hAnsi="Times New Roman" w:cs="Times New Roman"/>
          <w:b/>
        </w:rPr>
      </w:pPr>
    </w:p>
    <w:p w14:paraId="336FA0E9" w14:textId="5C7CEBFA" w:rsidR="00AD7DD1" w:rsidRDefault="00AD7DD1" w:rsidP="000251B0">
      <w:pPr>
        <w:jc w:val="center"/>
        <w:rPr>
          <w:rFonts w:ascii="Times New Roman" w:hAnsi="Times New Roman" w:cs="Times New Roman"/>
          <w:b/>
        </w:rPr>
      </w:pPr>
    </w:p>
    <w:p w14:paraId="3F75ADC9" w14:textId="2098DB4D" w:rsidR="00AD7DD1" w:rsidRDefault="00AD7DD1" w:rsidP="000251B0">
      <w:pPr>
        <w:jc w:val="center"/>
        <w:rPr>
          <w:rFonts w:ascii="Times New Roman" w:hAnsi="Times New Roman" w:cs="Times New Roman"/>
          <w:b/>
        </w:rPr>
      </w:pPr>
    </w:p>
    <w:p w14:paraId="2321E64D" w14:textId="77777777" w:rsidR="00AD7DD1" w:rsidRDefault="00AD7DD1" w:rsidP="000251B0">
      <w:pPr>
        <w:jc w:val="center"/>
        <w:rPr>
          <w:rFonts w:ascii="Times New Roman" w:hAnsi="Times New Roman" w:cs="Times New Roman"/>
          <w:b/>
        </w:rPr>
      </w:pPr>
    </w:p>
    <w:p w14:paraId="01903C31" w14:textId="77777777" w:rsidR="00AD7DD1" w:rsidRDefault="00AD7DD1" w:rsidP="000251B0">
      <w:pPr>
        <w:jc w:val="center"/>
        <w:rPr>
          <w:rFonts w:ascii="Times New Roman" w:hAnsi="Times New Roman" w:cs="Times New Roman"/>
          <w:b/>
        </w:rPr>
      </w:pPr>
    </w:p>
    <w:p w14:paraId="31A1790E" w14:textId="1AFD46C2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11</w:t>
      </w:r>
    </w:p>
    <w:p w14:paraId="1AADE1B5" w14:textId="6B921DB5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Conferencias, Asistentes y Material Educativo-Informativo</w:t>
      </w:r>
    </w:p>
    <w:p w14:paraId="1BB8AB82" w14:textId="318E4EBD" w:rsidR="000251B0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2C4F13">
        <w:rPr>
          <w:rFonts w:ascii="Times New Roman" w:hAnsi="Times New Roman" w:cs="Times New Roman"/>
          <w:b/>
        </w:rPr>
        <w:t>Mayo</w:t>
      </w:r>
      <w:r w:rsidRPr="00E4007C">
        <w:rPr>
          <w:rFonts w:ascii="Times New Roman" w:hAnsi="Times New Roman" w:cs="Times New Roman"/>
          <w:b/>
        </w:rPr>
        <w:t xml:space="preserve"> 202</w:t>
      </w:r>
      <w:r w:rsidR="004C4D76">
        <w:rPr>
          <w:rFonts w:ascii="Times New Roman" w:hAnsi="Times New Roman" w:cs="Times New Roman"/>
          <w:b/>
        </w:rPr>
        <w:t>5</w:t>
      </w:r>
    </w:p>
    <w:p w14:paraId="0468FFF1" w14:textId="7E2ACE1E" w:rsidR="000251B0" w:rsidRDefault="004E7C79" w:rsidP="000251B0">
      <w:pPr>
        <w:jc w:val="center"/>
        <w:rPr>
          <w:rFonts w:ascii="Times New Roman" w:hAnsi="Times New Roman" w:cs="Times New Roman"/>
          <w:b/>
        </w:rPr>
      </w:pPr>
      <w:r w:rsidRPr="004E7C79">
        <w:rPr>
          <w:noProof/>
        </w:rPr>
        <w:drawing>
          <wp:inline distT="0" distB="0" distL="0" distR="0" wp14:anchorId="5C1C1763" wp14:editId="57624F34">
            <wp:extent cx="5671851" cy="2267712"/>
            <wp:effectExtent l="0" t="0" r="508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625" cy="228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ADAE" w14:textId="516F987A" w:rsidR="000251B0" w:rsidRDefault="00586914" w:rsidP="0025245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536C3F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52302454" w14:textId="77777777" w:rsidR="00536C3F" w:rsidRDefault="00536C3F" w:rsidP="0025245A">
      <w:pPr>
        <w:jc w:val="both"/>
        <w:rPr>
          <w:rFonts w:ascii="Times New Roman" w:hAnsi="Times New Roman" w:cs="Times New Roman"/>
        </w:rPr>
      </w:pPr>
    </w:p>
    <w:p w14:paraId="47913D3C" w14:textId="3C504DD8" w:rsidR="0025245A" w:rsidRDefault="00C0384A" w:rsidP="00252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2C4F13">
        <w:rPr>
          <w:rFonts w:ascii="Times New Roman" w:hAnsi="Times New Roman" w:cs="Times New Roman"/>
        </w:rPr>
        <w:t>mayo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="0025245A" w:rsidRPr="0025245A">
        <w:rPr>
          <w:rFonts w:ascii="Times New Roman" w:hAnsi="Times New Roman" w:cs="Times New Roman"/>
        </w:rPr>
        <w:t xml:space="preserve">lo que se refiere </w:t>
      </w:r>
      <w:r w:rsidR="006A3F0D">
        <w:rPr>
          <w:rFonts w:ascii="Times New Roman" w:hAnsi="Times New Roman" w:cs="Times New Roman"/>
        </w:rPr>
        <w:t xml:space="preserve">a </w:t>
      </w:r>
      <w:r w:rsidR="005E02DE">
        <w:rPr>
          <w:rFonts w:ascii="Times New Roman" w:hAnsi="Times New Roman" w:cs="Times New Roman"/>
        </w:rPr>
        <w:t>la información</w:t>
      </w:r>
      <w:r>
        <w:rPr>
          <w:rFonts w:ascii="Times New Roman" w:hAnsi="Times New Roman" w:cs="Times New Roman"/>
        </w:rPr>
        <w:t xml:space="preserve"> </w:t>
      </w:r>
      <w:r w:rsidR="00A34595">
        <w:rPr>
          <w:rFonts w:ascii="Times New Roman" w:hAnsi="Times New Roman" w:cs="Times New Roman"/>
        </w:rPr>
        <w:t xml:space="preserve">brindada </w:t>
      </w:r>
      <w:r w:rsidR="0027305A" w:rsidRPr="0027305A">
        <w:rPr>
          <w:rFonts w:ascii="Times New Roman" w:hAnsi="Times New Roman" w:cs="Times New Roman"/>
        </w:rPr>
        <w:t xml:space="preserve">sobre derechos y obligaciones en materia de </w:t>
      </w:r>
      <w:r w:rsidR="00A55C73" w:rsidRPr="0027305A">
        <w:rPr>
          <w:rFonts w:ascii="Times New Roman" w:hAnsi="Times New Roman" w:cs="Times New Roman"/>
        </w:rPr>
        <w:t>consumo</w:t>
      </w:r>
      <w:r w:rsidR="00A55C73">
        <w:rPr>
          <w:rFonts w:ascii="Times New Roman" w:hAnsi="Times New Roman" w:cs="Times New Roman"/>
        </w:rPr>
        <w:t>,</w:t>
      </w:r>
      <w:r w:rsidR="00A55C73" w:rsidRPr="0025245A">
        <w:rPr>
          <w:rFonts w:ascii="Times New Roman" w:hAnsi="Times New Roman" w:cs="Times New Roman"/>
        </w:rPr>
        <w:t xml:space="preserve"> </w:t>
      </w:r>
      <w:r w:rsidR="009E4520">
        <w:rPr>
          <w:rFonts w:ascii="Times New Roman" w:hAnsi="Times New Roman" w:cs="Times New Roman"/>
        </w:rPr>
        <w:t>el</w:t>
      </w:r>
      <w:r w:rsidR="0027305A">
        <w:rPr>
          <w:rFonts w:ascii="Times New Roman" w:hAnsi="Times New Roman" w:cs="Times New Roman"/>
        </w:rPr>
        <w:t xml:space="preserve"> </w:t>
      </w:r>
      <w:r w:rsidR="0025245A" w:rsidRPr="0025245A">
        <w:rPr>
          <w:rFonts w:ascii="Times New Roman" w:hAnsi="Times New Roman" w:cs="Times New Roman"/>
        </w:rPr>
        <w:t>Departamento de Promoción y Asesoría al Consumidor y Proveedor</w:t>
      </w:r>
      <w:r w:rsidR="009E4520">
        <w:rPr>
          <w:rFonts w:ascii="Times New Roman" w:hAnsi="Times New Roman" w:cs="Times New Roman"/>
        </w:rPr>
        <w:t xml:space="preserve"> report</w:t>
      </w:r>
      <w:r w:rsidR="00586914">
        <w:rPr>
          <w:rFonts w:ascii="Times New Roman" w:hAnsi="Times New Roman" w:cs="Times New Roman"/>
        </w:rPr>
        <w:t>ó</w:t>
      </w:r>
      <w:r w:rsidR="009E4520">
        <w:rPr>
          <w:rFonts w:ascii="Times New Roman" w:hAnsi="Times New Roman" w:cs="Times New Roman"/>
        </w:rPr>
        <w:t xml:space="preserve"> </w:t>
      </w:r>
      <w:r w:rsidR="002C4F13">
        <w:rPr>
          <w:rFonts w:ascii="Times New Roman" w:hAnsi="Times New Roman" w:cs="Times New Roman"/>
        </w:rPr>
        <w:t>511</w:t>
      </w:r>
      <w:r w:rsidR="007A7E4C">
        <w:rPr>
          <w:rFonts w:ascii="Times New Roman" w:hAnsi="Times New Roman" w:cs="Times New Roman"/>
        </w:rPr>
        <w:t xml:space="preserve"> personas </w:t>
      </w:r>
      <w:r w:rsidR="00A46EEB">
        <w:rPr>
          <w:rFonts w:ascii="Times New Roman" w:hAnsi="Times New Roman" w:cs="Times New Roman"/>
        </w:rPr>
        <w:t>informadas</w:t>
      </w:r>
      <w:r w:rsidR="00F50951">
        <w:rPr>
          <w:rFonts w:ascii="Times New Roman" w:hAnsi="Times New Roman" w:cs="Times New Roman"/>
        </w:rPr>
        <w:t>;</w:t>
      </w:r>
      <w:r w:rsidR="009E4520">
        <w:rPr>
          <w:rFonts w:ascii="Times New Roman" w:hAnsi="Times New Roman" w:cs="Times New Roman"/>
        </w:rPr>
        <w:t xml:space="preserve"> en el caso </w:t>
      </w:r>
      <w:r w:rsidR="001508B1">
        <w:rPr>
          <w:rFonts w:ascii="Times New Roman" w:hAnsi="Times New Roman" w:cs="Times New Roman"/>
        </w:rPr>
        <w:t xml:space="preserve">del </w:t>
      </w:r>
      <w:r w:rsidR="001508B1" w:rsidRPr="0025245A">
        <w:rPr>
          <w:rFonts w:ascii="Times New Roman" w:hAnsi="Times New Roman" w:cs="Times New Roman"/>
        </w:rPr>
        <w:t>Departamento</w:t>
      </w:r>
      <w:r w:rsidR="0027305A">
        <w:rPr>
          <w:rFonts w:ascii="Times New Roman" w:hAnsi="Times New Roman" w:cs="Times New Roman"/>
        </w:rPr>
        <w:t xml:space="preserve"> de Coordinación de </w:t>
      </w:r>
      <w:r w:rsidR="00C40649">
        <w:rPr>
          <w:rFonts w:ascii="Times New Roman" w:hAnsi="Times New Roman" w:cs="Times New Roman"/>
        </w:rPr>
        <w:t>S</w:t>
      </w:r>
      <w:r w:rsidR="0025245A" w:rsidRPr="0025245A">
        <w:rPr>
          <w:rFonts w:ascii="Times New Roman" w:hAnsi="Times New Roman" w:cs="Times New Roman"/>
        </w:rPr>
        <w:t>edes Departamentales</w:t>
      </w:r>
      <w:r w:rsidR="007A7E4C">
        <w:rPr>
          <w:rFonts w:ascii="Times New Roman" w:hAnsi="Times New Roman" w:cs="Times New Roman"/>
        </w:rPr>
        <w:t>, report</w:t>
      </w:r>
      <w:r w:rsidR="00F50951">
        <w:rPr>
          <w:rFonts w:ascii="Times New Roman" w:hAnsi="Times New Roman" w:cs="Times New Roman"/>
        </w:rPr>
        <w:t>ó</w:t>
      </w:r>
      <w:r w:rsidR="007A7E4C">
        <w:rPr>
          <w:rFonts w:ascii="Times New Roman" w:hAnsi="Times New Roman" w:cs="Times New Roman"/>
        </w:rPr>
        <w:t xml:space="preserve"> </w:t>
      </w:r>
      <w:r w:rsidR="002C4F13">
        <w:rPr>
          <w:rFonts w:ascii="Times New Roman" w:hAnsi="Times New Roman" w:cs="Times New Roman"/>
        </w:rPr>
        <w:t>40 personas informadas</w:t>
      </w:r>
      <w:r w:rsidR="005A6D8E">
        <w:rPr>
          <w:rFonts w:ascii="Times New Roman" w:hAnsi="Times New Roman" w:cs="Times New Roman"/>
        </w:rPr>
        <w:t xml:space="preserve">, </w:t>
      </w:r>
      <w:r w:rsidR="005A6D8E" w:rsidRPr="00783719">
        <w:rPr>
          <w:rFonts w:ascii="Times New Roman" w:hAnsi="Times New Roman" w:cs="Times New Roman"/>
        </w:rPr>
        <w:t>como</w:t>
      </w:r>
      <w:r w:rsidR="0025245A" w:rsidRPr="0025245A">
        <w:rPr>
          <w:rFonts w:ascii="Times New Roman" w:hAnsi="Times New Roman" w:cs="Times New Roman"/>
        </w:rPr>
        <w:t xml:space="preserve"> se puede observar en el cuadro siguiente:</w:t>
      </w:r>
    </w:p>
    <w:p w14:paraId="5190B021" w14:textId="3DF77BD6" w:rsidR="00783CB1" w:rsidRDefault="00783CB1" w:rsidP="00A310A8">
      <w:pPr>
        <w:jc w:val="center"/>
        <w:rPr>
          <w:rFonts w:ascii="Times New Roman" w:hAnsi="Times New Roman" w:cs="Times New Roman"/>
          <w:b/>
        </w:rPr>
      </w:pPr>
    </w:p>
    <w:p w14:paraId="44738BB7" w14:textId="15B811D4" w:rsidR="0066608D" w:rsidRPr="00684ADE" w:rsidRDefault="0066608D" w:rsidP="00A310A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12</w:t>
      </w:r>
    </w:p>
    <w:p w14:paraId="20156E01" w14:textId="77777777" w:rsidR="00A34595" w:rsidRDefault="00A50C52" w:rsidP="006660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="0066608D" w:rsidRPr="00684ADE">
        <w:rPr>
          <w:rFonts w:ascii="Times New Roman" w:hAnsi="Times New Roman" w:cs="Times New Roman"/>
          <w:b/>
        </w:rPr>
        <w:t xml:space="preserve"> </w:t>
      </w:r>
      <w:r w:rsidR="00A34595">
        <w:rPr>
          <w:rFonts w:ascii="Times New Roman" w:hAnsi="Times New Roman" w:cs="Times New Roman"/>
          <w:b/>
        </w:rPr>
        <w:t xml:space="preserve">en las conferencias impartidas </w:t>
      </w:r>
    </w:p>
    <w:p w14:paraId="1FC3D7D4" w14:textId="5EDB59EB" w:rsidR="0066608D" w:rsidRPr="00684ADE" w:rsidRDefault="00A34595" w:rsidP="0066608D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07562F41" w14:textId="3D91C0BD" w:rsidR="0066608D" w:rsidRPr="001513A0" w:rsidRDefault="00272007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272007">
        <w:rPr>
          <w:noProof/>
        </w:rPr>
        <w:drawing>
          <wp:inline distT="0" distB="0" distL="0" distR="0" wp14:anchorId="73D305F3" wp14:editId="4EAA4803">
            <wp:extent cx="5404195" cy="848563"/>
            <wp:effectExtent l="0" t="0" r="6350" b="889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405" cy="85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20F21753" w:rsid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B29FE08" w14:textId="6D4BABF8" w:rsidR="004C4D76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D8CA485" w14:textId="00449F26" w:rsidR="004C4D76" w:rsidRDefault="004C4D76" w:rsidP="004C4D76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</w:t>
      </w:r>
      <w:r w:rsidR="006A3F0D">
        <w:rPr>
          <w:rFonts w:ascii="Times New Roman" w:hAnsi="Times New Roman" w:cs="Times New Roman"/>
        </w:rPr>
        <w:t xml:space="preserve">en las conferencias impartidas de información </w:t>
      </w:r>
      <w:r w:rsidR="006A3F0D" w:rsidRPr="0027305A">
        <w:rPr>
          <w:rFonts w:ascii="Times New Roman" w:hAnsi="Times New Roman" w:cs="Times New Roman"/>
        </w:rPr>
        <w:t>sobre derechos y obligaciones en materia de consumo</w:t>
      </w:r>
      <w:r w:rsidRPr="00AC54CC">
        <w:rPr>
          <w:rFonts w:ascii="Times New Roman" w:hAnsi="Times New Roman" w:cs="Times New Roman"/>
        </w:rPr>
        <w:t xml:space="preserve">, </w:t>
      </w:r>
      <w:r w:rsidR="006A3F0D">
        <w:rPr>
          <w:rFonts w:ascii="Times New Roman" w:hAnsi="Times New Roman" w:cs="Times New Roman"/>
        </w:rPr>
        <w:t xml:space="preserve">han asistido </w:t>
      </w:r>
      <w:r w:rsidRPr="00AC54CC">
        <w:rPr>
          <w:rFonts w:ascii="Times New Roman" w:hAnsi="Times New Roman" w:cs="Times New Roman"/>
        </w:rPr>
        <w:t xml:space="preserve">de </w:t>
      </w:r>
      <w:r w:rsidR="007A7E4C">
        <w:rPr>
          <w:rFonts w:ascii="Times New Roman" w:hAnsi="Times New Roman" w:cs="Times New Roman"/>
        </w:rPr>
        <w:t>1,</w:t>
      </w:r>
      <w:r w:rsidR="002C4F13">
        <w:rPr>
          <w:rFonts w:ascii="Times New Roman" w:hAnsi="Times New Roman" w:cs="Times New Roman"/>
        </w:rPr>
        <w:t>563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438351E0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13</w:t>
      </w:r>
    </w:p>
    <w:p w14:paraId="1106D91C" w14:textId="77777777" w:rsidR="00A34595" w:rsidRDefault="00A34595" w:rsidP="00A345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en las conferencias impartidas </w:t>
      </w:r>
    </w:p>
    <w:p w14:paraId="4EC3B507" w14:textId="77777777" w:rsidR="00A34595" w:rsidRPr="00684ADE" w:rsidRDefault="00A34595" w:rsidP="00A34595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4040443C" w14:textId="62229BBA" w:rsidR="004C4D76" w:rsidRPr="005E02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5E02DE">
        <w:rPr>
          <w:rFonts w:ascii="Times New Roman" w:hAnsi="Times New Roman" w:cs="Times New Roman"/>
          <w:b/>
        </w:rPr>
        <w:t xml:space="preserve">Enero – </w:t>
      </w:r>
      <w:r w:rsidR="002C4F13">
        <w:rPr>
          <w:rFonts w:ascii="Times New Roman" w:hAnsi="Times New Roman" w:cs="Times New Roman"/>
          <w:b/>
        </w:rPr>
        <w:t>Mayo</w:t>
      </w:r>
      <w:r w:rsidRPr="005E02DE">
        <w:rPr>
          <w:rFonts w:ascii="Times New Roman" w:hAnsi="Times New Roman" w:cs="Times New Roman"/>
          <w:b/>
        </w:rPr>
        <w:t xml:space="preserve"> 2025</w:t>
      </w:r>
    </w:p>
    <w:p w14:paraId="6287582F" w14:textId="654D3429" w:rsidR="004C4D76" w:rsidRPr="004C4D76" w:rsidRDefault="00272007" w:rsidP="004C4D76">
      <w:pPr>
        <w:jc w:val="center"/>
        <w:rPr>
          <w:rFonts w:ascii="Times New Roman" w:hAnsi="Times New Roman" w:cs="Times New Roman"/>
          <w:bCs/>
        </w:rPr>
      </w:pPr>
      <w:r w:rsidRPr="00272007">
        <w:rPr>
          <w:noProof/>
        </w:rPr>
        <w:drawing>
          <wp:inline distT="0" distB="0" distL="0" distR="0" wp14:anchorId="013EA2BC" wp14:editId="2BEEC6C4">
            <wp:extent cx="5322340" cy="863194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846" cy="8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BB10" w14:textId="4F75B241" w:rsidR="00536C3F" w:rsidRDefault="00C90019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536C3F"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B1130DF" w14:textId="77777777" w:rsidR="004C4D76" w:rsidRPr="00AB0E67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70F9596" w14:textId="528DB81C" w:rsidR="00272007" w:rsidRDefault="00272007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0002FC3" w14:textId="77777777" w:rsidR="00272007" w:rsidRDefault="00272007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FBF875" w14:textId="7B50322B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0ED859EC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2C4F13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 se autorizaron </w:t>
      </w:r>
      <w:r w:rsidR="002C4F13">
        <w:rPr>
          <w:rFonts w:ascii="Times New Roman" w:hAnsi="Times New Roman" w:cs="Times New Roman"/>
        </w:rPr>
        <w:t>932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2C4F13">
        <w:rPr>
          <w:rFonts w:ascii="Times New Roman" w:hAnsi="Times New Roman" w:cs="Times New Roman"/>
        </w:rPr>
        <w:t>505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2C4F13">
        <w:rPr>
          <w:rFonts w:ascii="Times New Roman" w:hAnsi="Times New Roman" w:cs="Times New Roman"/>
        </w:rPr>
        <w:t>427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</w:t>
      </w:r>
      <w:r w:rsidR="00BF6DE9">
        <w:rPr>
          <w:rFonts w:ascii="Times New Roman" w:hAnsi="Times New Roman" w:cs="Times New Roman"/>
        </w:rPr>
        <w:t>s</w:t>
      </w:r>
      <w:r w:rsidR="006958DE" w:rsidRPr="00684ADE">
        <w:rPr>
          <w:rFonts w:ascii="Times New Roman" w:hAnsi="Times New Roman" w:cs="Times New Roman"/>
        </w:rPr>
        <w:t xml:space="preserve"> Dep</w:t>
      </w:r>
      <w:r w:rsidR="00AC3F1E" w:rsidRPr="00684ADE">
        <w:rPr>
          <w:rFonts w:ascii="Times New Roman" w:hAnsi="Times New Roman" w:cs="Times New Roman"/>
        </w:rPr>
        <w:t>artamentales</w:t>
      </w:r>
      <w:r w:rsidR="00A55C73">
        <w:rPr>
          <w:rFonts w:ascii="Times New Roman" w:hAnsi="Times New Roman" w:cs="Times New Roman"/>
        </w:rPr>
        <w:t xml:space="preserve">. </w:t>
      </w:r>
      <w:r w:rsidR="00AC3F1E" w:rsidRPr="00783719">
        <w:rPr>
          <w:rFonts w:ascii="Times New Roman" w:hAnsi="Times New Roman" w:cs="Times New Roman"/>
        </w:rPr>
        <w:t>Asimismo</w:t>
      </w:r>
      <w:r w:rsidR="00AC3F1E" w:rsidRPr="00684ADE">
        <w:rPr>
          <w:rFonts w:ascii="Times New Roman" w:hAnsi="Times New Roman" w:cs="Times New Roman"/>
        </w:rPr>
        <w:t xml:space="preserve">, se recibieron </w:t>
      </w:r>
      <w:r w:rsidR="00A46EEB">
        <w:rPr>
          <w:rFonts w:ascii="Times New Roman" w:hAnsi="Times New Roman" w:cs="Times New Roman"/>
        </w:rPr>
        <w:t>5</w:t>
      </w:r>
      <w:r w:rsidR="00227B58">
        <w:rPr>
          <w:rFonts w:ascii="Times New Roman" w:hAnsi="Times New Roman" w:cs="Times New Roman"/>
        </w:rPr>
        <w:t>6</w:t>
      </w:r>
      <w:r w:rsidR="006560C3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227B58">
        <w:rPr>
          <w:rFonts w:ascii="Times New Roman" w:hAnsi="Times New Roman" w:cs="Times New Roman"/>
        </w:rPr>
        <w:t>30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227B58">
        <w:rPr>
          <w:rFonts w:ascii="Times New Roman" w:hAnsi="Times New Roman" w:cs="Times New Roman"/>
        </w:rPr>
        <w:t>2</w:t>
      </w:r>
      <w:r w:rsidR="00D77AB1">
        <w:rPr>
          <w:rFonts w:ascii="Times New Roman" w:hAnsi="Times New Roman" w:cs="Times New Roman"/>
        </w:rPr>
        <w:t>6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en la Sedes Departamentales.  En cuanto a expedientes </w:t>
      </w:r>
      <w:r w:rsidR="007402A6">
        <w:rPr>
          <w:rFonts w:ascii="Times New Roman" w:hAnsi="Times New Roman" w:cs="Times New Roman"/>
        </w:rPr>
        <w:t xml:space="preserve">para la verificación de certificados </w:t>
      </w:r>
      <w:r w:rsidR="00AC3F1E" w:rsidRPr="00684ADE">
        <w:rPr>
          <w:rFonts w:ascii="Times New Roman" w:hAnsi="Times New Roman" w:cs="Times New Roman"/>
        </w:rPr>
        <w:t>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227B58">
        <w:rPr>
          <w:rFonts w:ascii="Times New Roman" w:hAnsi="Times New Roman" w:cs="Times New Roman"/>
        </w:rPr>
        <w:t>317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38A820FF" w14:textId="6933814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14</w:t>
      </w:r>
    </w:p>
    <w:p w14:paraId="04EAFFCC" w14:textId="77777777" w:rsidR="007E21BB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2506B5F3" w14:textId="7AC223F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</w:p>
    <w:p w14:paraId="5C7F6E9A" w14:textId="63B4CECB" w:rsidR="00AC54CC" w:rsidRPr="00AC54CC" w:rsidRDefault="00272007" w:rsidP="002B1F6F">
      <w:pPr>
        <w:jc w:val="center"/>
        <w:rPr>
          <w:rFonts w:ascii="Times New Roman" w:hAnsi="Times New Roman" w:cs="Times New Roman"/>
          <w:b/>
        </w:rPr>
      </w:pPr>
      <w:r w:rsidRPr="00272007">
        <w:rPr>
          <w:noProof/>
        </w:rPr>
        <w:drawing>
          <wp:inline distT="0" distB="0" distL="0" distR="0" wp14:anchorId="768C3793" wp14:editId="1FBEC654">
            <wp:extent cx="5494020" cy="1514475"/>
            <wp:effectExtent l="0" t="0" r="0" b="952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477" cy="151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173749AC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</w:t>
      </w:r>
      <w:r w:rsidR="00536C3F">
        <w:rPr>
          <w:rFonts w:ascii="Times New Roman" w:hAnsi="Times New Roman" w:cs="Times New Roman"/>
          <w:sz w:val="16"/>
          <w:szCs w:val="16"/>
        </w:rPr>
        <w:t>s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 w:rsidR="00536C3F"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6AE3DE37" w14:textId="5252234C" w:rsidR="003953D3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14AD2F6" w14:textId="72CD33D3" w:rsidR="004C4D76" w:rsidRDefault="004C4D76" w:rsidP="004C4D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227B58">
        <w:rPr>
          <w:rFonts w:ascii="Times New Roman" w:hAnsi="Times New Roman" w:cs="Times New Roman"/>
        </w:rPr>
        <w:t>4,343</w:t>
      </w:r>
      <w:r w:rsidRPr="00E4007C">
        <w:rPr>
          <w:rFonts w:ascii="Times New Roman" w:hAnsi="Times New Roman" w:cs="Times New Roman"/>
        </w:rPr>
        <w:t xml:space="preserve"> libros de quejas; </w:t>
      </w:r>
      <w:r w:rsidR="00227B58">
        <w:rPr>
          <w:rFonts w:ascii="Times New Roman" w:hAnsi="Times New Roman" w:cs="Times New Roman"/>
        </w:rPr>
        <w:t>2,369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D77AB1">
        <w:rPr>
          <w:rFonts w:ascii="Times New Roman" w:hAnsi="Times New Roman" w:cs="Times New Roman"/>
        </w:rPr>
        <w:t>1,</w:t>
      </w:r>
      <w:r w:rsidR="00227B58">
        <w:rPr>
          <w:rFonts w:ascii="Times New Roman" w:hAnsi="Times New Roman" w:cs="Times New Roman"/>
        </w:rPr>
        <w:t>974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227B58">
        <w:rPr>
          <w:rFonts w:ascii="Times New Roman" w:hAnsi="Times New Roman" w:cs="Times New Roman"/>
        </w:rPr>
        <w:t>241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227B58">
        <w:rPr>
          <w:rFonts w:ascii="Times New Roman" w:hAnsi="Times New Roman" w:cs="Times New Roman"/>
        </w:rPr>
        <w:t>8</w:t>
      </w:r>
      <w:r w:rsidR="00A46EEB">
        <w:rPr>
          <w:rFonts w:ascii="Times New Roman" w:hAnsi="Times New Roman" w:cs="Times New Roman"/>
        </w:rPr>
        <w:t>0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A46EEB">
        <w:rPr>
          <w:rFonts w:ascii="Times New Roman" w:hAnsi="Times New Roman" w:cs="Times New Roman"/>
        </w:rPr>
        <w:t>1</w:t>
      </w:r>
      <w:r w:rsidR="00227B58">
        <w:rPr>
          <w:rFonts w:ascii="Times New Roman" w:hAnsi="Times New Roman" w:cs="Times New Roman"/>
        </w:rPr>
        <w:t>61</w:t>
      </w:r>
      <w:r w:rsidRPr="00E4007C">
        <w:rPr>
          <w:rFonts w:ascii="Times New Roman" w:hAnsi="Times New Roman" w:cs="Times New Roman"/>
        </w:rPr>
        <w:t xml:space="preserve"> en las Sedes Departamentales; en lo que respecta a </w:t>
      </w:r>
      <w:r w:rsidR="00B14E2B" w:rsidRPr="00684ADE">
        <w:rPr>
          <w:rFonts w:ascii="Times New Roman" w:hAnsi="Times New Roman" w:cs="Times New Roman"/>
        </w:rPr>
        <w:t xml:space="preserve">expedientes </w:t>
      </w:r>
      <w:r w:rsidR="00B14E2B">
        <w:rPr>
          <w:rFonts w:ascii="Times New Roman" w:hAnsi="Times New Roman" w:cs="Times New Roman"/>
        </w:rPr>
        <w:t xml:space="preserve">para la verificación de certificados </w:t>
      </w:r>
      <w:r w:rsidR="00B14E2B" w:rsidRPr="00684ADE">
        <w:rPr>
          <w:rFonts w:ascii="Times New Roman" w:hAnsi="Times New Roman" w:cs="Times New Roman"/>
        </w:rPr>
        <w:t>de Instrumentos de Medición y Pesaje</w:t>
      </w:r>
      <w:r w:rsidRPr="00E4007C">
        <w:rPr>
          <w:rFonts w:ascii="Times New Roman" w:hAnsi="Times New Roman" w:cs="Times New Roman"/>
        </w:rPr>
        <w:t xml:space="preserve">, se han recibido </w:t>
      </w:r>
      <w:r w:rsidR="00227B58">
        <w:rPr>
          <w:rFonts w:ascii="Times New Roman" w:hAnsi="Times New Roman" w:cs="Times New Roman"/>
        </w:rPr>
        <w:t>1,131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0005455B" w14:textId="77777777" w:rsidR="00EF7C83" w:rsidRDefault="00EF7C83" w:rsidP="004C4D76">
      <w:pPr>
        <w:jc w:val="both"/>
        <w:rPr>
          <w:rFonts w:ascii="Times New Roman" w:hAnsi="Times New Roman" w:cs="Times New Roman"/>
        </w:rPr>
      </w:pPr>
    </w:p>
    <w:p w14:paraId="7C229F68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15</w:t>
      </w:r>
    </w:p>
    <w:p w14:paraId="0040A6CB" w14:textId="77777777" w:rsidR="007E21BB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574A480C" w14:textId="4663DDCC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  <w:r>
        <w:rPr>
          <w:rFonts w:ascii="Times New Roman" w:hAnsi="Times New Roman" w:cs="Times New Roman"/>
          <w:b/>
        </w:rPr>
        <w:t xml:space="preserve"> </w:t>
      </w:r>
    </w:p>
    <w:p w14:paraId="57BAEA85" w14:textId="6729B7E2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227B58">
        <w:rPr>
          <w:rFonts w:ascii="Times New Roman" w:hAnsi="Times New Roman" w:cs="Times New Roman"/>
          <w:b/>
        </w:rPr>
        <w:t>Mayo</w:t>
      </w:r>
      <w:r>
        <w:rPr>
          <w:rFonts w:ascii="Times New Roman" w:hAnsi="Times New Roman" w:cs="Times New Roman"/>
          <w:b/>
        </w:rPr>
        <w:t xml:space="preserve"> 202</w:t>
      </w:r>
      <w:r w:rsidR="00D77AB1">
        <w:rPr>
          <w:rFonts w:ascii="Times New Roman" w:hAnsi="Times New Roman" w:cs="Times New Roman"/>
          <w:b/>
        </w:rPr>
        <w:t>5</w:t>
      </w:r>
    </w:p>
    <w:p w14:paraId="079C2FA6" w14:textId="77777777" w:rsidR="00757765" w:rsidRDefault="0001285D" w:rsidP="00757765">
      <w:pPr>
        <w:ind w:left="-142"/>
        <w:rPr>
          <w:rFonts w:ascii="Times New Roman" w:hAnsi="Times New Roman" w:cs="Times New Roman"/>
          <w:sz w:val="16"/>
          <w:szCs w:val="16"/>
        </w:rPr>
      </w:pPr>
      <w:r w:rsidRPr="0001285D">
        <w:rPr>
          <w:noProof/>
        </w:rPr>
        <w:drawing>
          <wp:inline distT="0" distB="0" distL="0" distR="0" wp14:anchorId="32DF2FD9" wp14:editId="5B87C00F">
            <wp:extent cx="5602935" cy="1338463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376" cy="135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E9A9" w14:textId="01DFF3E4" w:rsidR="00536C3F" w:rsidRPr="00757765" w:rsidRDefault="00536C3F" w:rsidP="00757765">
      <w:pPr>
        <w:ind w:left="-142"/>
        <w:rPr>
          <w:rFonts w:ascii="Times New Roman" w:hAnsi="Times New Roman" w:cs="Times New Roman"/>
          <w:sz w:val="16"/>
          <w:szCs w:val="16"/>
        </w:rPr>
      </w:pPr>
      <w:r w:rsidRPr="00757765">
        <w:rPr>
          <w:rFonts w:ascii="Times New Roman" w:hAnsi="Times New Roman" w:cs="Times New Roman"/>
          <w:sz w:val="16"/>
          <w:szCs w:val="16"/>
        </w:rPr>
        <w:t>Fuente: Departamentos de Promoción y Asesoría al Consumidor y Proveedor, Legal, Verificación y Vigilancia y Coordinación</w:t>
      </w:r>
      <w:r w:rsidR="00757765" w:rsidRPr="00757765">
        <w:rPr>
          <w:rFonts w:ascii="Times New Roman" w:hAnsi="Times New Roman" w:cs="Times New Roman"/>
          <w:sz w:val="16"/>
          <w:szCs w:val="16"/>
        </w:rPr>
        <w:t xml:space="preserve"> </w:t>
      </w:r>
      <w:r w:rsidRPr="00757765">
        <w:rPr>
          <w:rFonts w:ascii="Times New Roman" w:hAnsi="Times New Roman" w:cs="Times New Roman"/>
          <w:sz w:val="16"/>
          <w:szCs w:val="16"/>
        </w:rPr>
        <w:t xml:space="preserve">de Sedes </w:t>
      </w:r>
    </w:p>
    <w:p w14:paraId="7571852F" w14:textId="024C09F9" w:rsidR="00DB3D82" w:rsidRDefault="00DB3D82" w:rsidP="00B75D5A">
      <w:pPr>
        <w:rPr>
          <w:rFonts w:ascii="Times New Roman" w:hAnsi="Times New Roman" w:cs="Times New Roman"/>
          <w:b/>
        </w:rPr>
      </w:pPr>
    </w:p>
    <w:p w14:paraId="3A2754D9" w14:textId="11EED5F0" w:rsidR="00AD7DD1" w:rsidRDefault="00AD7DD1" w:rsidP="00B75D5A">
      <w:pPr>
        <w:rPr>
          <w:rFonts w:ascii="Times New Roman" w:hAnsi="Times New Roman" w:cs="Times New Roman"/>
          <w:b/>
        </w:rPr>
      </w:pPr>
    </w:p>
    <w:p w14:paraId="12921F26" w14:textId="0AC1A8CF" w:rsidR="00AD7DD1" w:rsidRDefault="00AD7DD1" w:rsidP="00B75D5A">
      <w:pPr>
        <w:rPr>
          <w:rFonts w:ascii="Times New Roman" w:hAnsi="Times New Roman" w:cs="Times New Roman"/>
          <w:b/>
        </w:rPr>
      </w:pPr>
    </w:p>
    <w:p w14:paraId="4275C2EC" w14:textId="77777777" w:rsidR="00AD7DD1" w:rsidRDefault="00AD7DD1" w:rsidP="00B75D5A">
      <w:pPr>
        <w:rPr>
          <w:rFonts w:ascii="Times New Roman" w:hAnsi="Times New Roman" w:cs="Times New Roman"/>
          <w:b/>
        </w:rPr>
      </w:pPr>
    </w:p>
    <w:p w14:paraId="73F1AAC3" w14:textId="77777777" w:rsidR="00B75D5A" w:rsidRDefault="00B75D5A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1F84697E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5AAB51C0" w14:textId="6679FC69" w:rsidR="002B1F6F" w:rsidRDefault="0001285D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1285D">
        <w:rPr>
          <w:noProof/>
        </w:rPr>
        <w:drawing>
          <wp:inline distT="0" distB="0" distL="0" distR="0" wp14:anchorId="7BEAE42F" wp14:editId="0A76FBD2">
            <wp:extent cx="5412740" cy="2596896"/>
            <wp:effectExtent l="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45" cy="262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6152C" w14:textId="77777777" w:rsidR="005475E2" w:rsidRDefault="005475E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101BF23D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0CB4D37E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6E592F31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227B58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122F3A79" w14:textId="77777777" w:rsidR="00EF7C83" w:rsidRDefault="00EF7C83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24698D0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16</w:t>
      </w:r>
    </w:p>
    <w:p w14:paraId="542714B5" w14:textId="5AF0A3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5CBDF7E3" w14:textId="7C489818" w:rsidR="00DB3D82" w:rsidRDefault="0001285D" w:rsidP="002B1F6F">
      <w:pPr>
        <w:jc w:val="center"/>
        <w:rPr>
          <w:rFonts w:ascii="Times New Roman" w:hAnsi="Times New Roman" w:cs="Times New Roman"/>
          <w:b/>
        </w:rPr>
      </w:pPr>
      <w:r w:rsidRPr="0001285D">
        <w:rPr>
          <w:noProof/>
        </w:rPr>
        <w:drawing>
          <wp:inline distT="0" distB="0" distL="0" distR="0" wp14:anchorId="70A4D7A8" wp14:editId="7621B833">
            <wp:extent cx="5068621" cy="3460089"/>
            <wp:effectExtent l="0" t="0" r="0" b="762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292" cy="349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5A172732" w:rsidR="00AB0E67" w:rsidRDefault="00705233" w:rsidP="006E5AF0">
      <w:pPr>
        <w:jc w:val="both"/>
        <w:rPr>
          <w:rFonts w:ascii="Arial" w:hAnsi="Arial" w:cs="Arial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C77499">
        <w:rPr>
          <w:rFonts w:ascii="Times New Roman" w:hAnsi="Times New Roman" w:cs="Times New Roman"/>
          <w:sz w:val="16"/>
          <w:szCs w:val="16"/>
        </w:rPr>
        <w:t xml:space="preserve">         </w:t>
      </w:r>
      <w:r w:rsidR="00AD7DD1">
        <w:rPr>
          <w:rFonts w:ascii="Times New Roman" w:hAnsi="Times New Roman" w:cs="Times New Roman"/>
          <w:sz w:val="16"/>
          <w:szCs w:val="16"/>
        </w:rPr>
        <w:t xml:space="preserve">      </w:t>
      </w:r>
      <w:r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30D9A00" w14:textId="4D49B879" w:rsidR="00C3466F" w:rsidRDefault="00C3466F" w:rsidP="006E5AF0">
      <w:pPr>
        <w:jc w:val="both"/>
        <w:rPr>
          <w:rFonts w:ascii="Arial" w:hAnsi="Arial" w:cs="Arial"/>
          <w:sz w:val="16"/>
          <w:szCs w:val="16"/>
        </w:rPr>
      </w:pPr>
    </w:p>
    <w:p w14:paraId="2036D1C6" w14:textId="77777777" w:rsidR="00AD7DD1" w:rsidRDefault="00AD7DD1" w:rsidP="006E5AF0">
      <w:pPr>
        <w:jc w:val="both"/>
        <w:rPr>
          <w:rFonts w:ascii="Arial" w:hAnsi="Arial" w:cs="Arial"/>
          <w:sz w:val="16"/>
          <w:szCs w:val="16"/>
        </w:rPr>
      </w:pPr>
    </w:p>
    <w:p w14:paraId="2840A467" w14:textId="77777777" w:rsidR="00C3466F" w:rsidRPr="00C77499" w:rsidRDefault="00C3466F" w:rsidP="006E5AF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00749CD" w14:textId="3109C188" w:rsidR="00705233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8542FA" w14:textId="6DC1C059" w:rsidR="002B1F6F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CFD0E4B" w14:textId="77777777" w:rsidR="00A220E9" w:rsidRPr="00A220E9" w:rsidRDefault="00A220E9" w:rsidP="00A220E9">
      <w:pPr>
        <w:rPr>
          <w:lang w:val="es-GT" w:eastAsia="es-MX"/>
        </w:rPr>
      </w:pPr>
    </w:p>
    <w:p w14:paraId="37BBED4C" w14:textId="6A193C1B" w:rsidR="00225AED" w:rsidRPr="00684ADE" w:rsidRDefault="00225AED" w:rsidP="00225AED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227B58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43F4DF7D" w14:textId="242E8C43" w:rsidR="00EF7C83" w:rsidRDefault="00EF7C83" w:rsidP="002B1F6F">
      <w:pPr>
        <w:jc w:val="center"/>
        <w:rPr>
          <w:rFonts w:ascii="Times New Roman" w:hAnsi="Times New Roman" w:cs="Times New Roman"/>
          <w:b/>
        </w:rPr>
      </w:pPr>
    </w:p>
    <w:p w14:paraId="1C7DCB9D" w14:textId="531A25BE" w:rsidR="002B1F6F" w:rsidRPr="008F2FC4" w:rsidRDefault="002B1F6F" w:rsidP="00A220E9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225AED">
        <w:rPr>
          <w:rFonts w:ascii="Times New Roman" w:hAnsi="Times New Roman" w:cs="Times New Roman"/>
          <w:b/>
        </w:rPr>
        <w:t>1</w:t>
      </w:r>
      <w:r w:rsidR="00051523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4BB7E8E0" w:rsidR="002B1F6F" w:rsidRDefault="006958DE" w:rsidP="00D6768A">
      <w:pPr>
        <w:jc w:val="center"/>
        <w:rPr>
          <w:rFonts w:ascii="Times New Roman" w:hAnsi="Times New Roman" w:cs="Times New Roman"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696DB5AF" w14:textId="33CF1300" w:rsidR="006E5AF0" w:rsidRDefault="00B22FD4" w:rsidP="00D6768A">
      <w:pPr>
        <w:jc w:val="center"/>
        <w:rPr>
          <w:rFonts w:ascii="Times New Roman" w:hAnsi="Times New Roman" w:cs="Times New Roman"/>
        </w:rPr>
      </w:pPr>
      <w:r w:rsidRPr="00B22FD4">
        <w:drawing>
          <wp:inline distT="0" distB="0" distL="0" distR="0" wp14:anchorId="4620D6DC" wp14:editId="5CF88188">
            <wp:extent cx="5970816" cy="4893869"/>
            <wp:effectExtent l="0" t="0" r="0" b="254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885" cy="491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2B44" w14:textId="485E8BD2" w:rsidR="006E5AF0" w:rsidRPr="002678C2" w:rsidRDefault="006E5AF0" w:rsidP="006E5AF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5045E97" w14:textId="2DE38F81" w:rsidR="00C3466F" w:rsidRDefault="00C3466F" w:rsidP="00FC5C4F">
      <w:pPr>
        <w:jc w:val="center"/>
        <w:rPr>
          <w:rFonts w:ascii="Times New Roman" w:hAnsi="Times New Roman" w:cs="Times New Roman"/>
          <w:b/>
        </w:rPr>
      </w:pPr>
    </w:p>
    <w:p w14:paraId="0E05126C" w14:textId="35279AD4" w:rsidR="0001285D" w:rsidRDefault="0001285D" w:rsidP="00FC5C4F">
      <w:pPr>
        <w:jc w:val="center"/>
        <w:rPr>
          <w:rFonts w:ascii="Times New Roman" w:hAnsi="Times New Roman" w:cs="Times New Roman"/>
          <w:b/>
        </w:rPr>
      </w:pPr>
    </w:p>
    <w:p w14:paraId="4B6B7F52" w14:textId="6E2FEE99" w:rsidR="0001285D" w:rsidRDefault="0001285D" w:rsidP="00FC5C4F">
      <w:pPr>
        <w:jc w:val="center"/>
        <w:rPr>
          <w:rFonts w:ascii="Times New Roman" w:hAnsi="Times New Roman" w:cs="Times New Roman"/>
          <w:b/>
        </w:rPr>
      </w:pPr>
    </w:p>
    <w:p w14:paraId="3FE16030" w14:textId="262B96B0" w:rsidR="005F0EA2" w:rsidRDefault="005F0EA2" w:rsidP="00FC5C4F">
      <w:pPr>
        <w:jc w:val="center"/>
        <w:rPr>
          <w:rFonts w:ascii="Times New Roman" w:hAnsi="Times New Roman" w:cs="Times New Roman"/>
          <w:b/>
        </w:rPr>
      </w:pPr>
    </w:p>
    <w:p w14:paraId="71409349" w14:textId="448E23EF" w:rsidR="005F0EA2" w:rsidRDefault="005F0EA2" w:rsidP="00FC5C4F">
      <w:pPr>
        <w:jc w:val="center"/>
        <w:rPr>
          <w:rFonts w:ascii="Times New Roman" w:hAnsi="Times New Roman" w:cs="Times New Roman"/>
          <w:b/>
        </w:rPr>
      </w:pPr>
    </w:p>
    <w:p w14:paraId="1C056663" w14:textId="1635A049" w:rsidR="00B22FD4" w:rsidRDefault="00B22FD4" w:rsidP="00FC5C4F">
      <w:pPr>
        <w:jc w:val="center"/>
        <w:rPr>
          <w:rFonts w:ascii="Times New Roman" w:hAnsi="Times New Roman" w:cs="Times New Roman"/>
          <w:b/>
        </w:rPr>
      </w:pPr>
    </w:p>
    <w:p w14:paraId="2252CC77" w14:textId="5D7AB0B1" w:rsidR="00B22FD4" w:rsidRDefault="00B22FD4" w:rsidP="00FC5C4F">
      <w:pPr>
        <w:jc w:val="center"/>
        <w:rPr>
          <w:rFonts w:ascii="Times New Roman" w:hAnsi="Times New Roman" w:cs="Times New Roman"/>
          <w:b/>
        </w:rPr>
      </w:pPr>
    </w:p>
    <w:p w14:paraId="46D970BC" w14:textId="77777777" w:rsidR="00B22FD4" w:rsidRDefault="00B22FD4" w:rsidP="00FC5C4F">
      <w:pPr>
        <w:jc w:val="center"/>
        <w:rPr>
          <w:rFonts w:ascii="Times New Roman" w:hAnsi="Times New Roman" w:cs="Times New Roman"/>
          <w:b/>
        </w:rPr>
      </w:pPr>
    </w:p>
    <w:p w14:paraId="41D85271" w14:textId="77777777" w:rsidR="005F0EA2" w:rsidRDefault="005F0EA2" w:rsidP="00FC5C4F">
      <w:pPr>
        <w:jc w:val="center"/>
        <w:rPr>
          <w:rFonts w:ascii="Times New Roman" w:hAnsi="Times New Roman" w:cs="Times New Roman"/>
          <w:b/>
        </w:rPr>
      </w:pPr>
    </w:p>
    <w:p w14:paraId="28D147A7" w14:textId="7FB69A92" w:rsidR="00EF7C83" w:rsidRDefault="00EF7C83" w:rsidP="00FC5C4F">
      <w:pPr>
        <w:jc w:val="center"/>
        <w:rPr>
          <w:rFonts w:ascii="Times New Roman" w:hAnsi="Times New Roman" w:cs="Times New Roman"/>
          <w:b/>
        </w:rPr>
      </w:pPr>
    </w:p>
    <w:p w14:paraId="4354CECA" w14:textId="37AAF84C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>
        <w:rPr>
          <w:rFonts w:ascii="Times New Roman" w:hAnsi="Times New Roman" w:cs="Times New Roman"/>
          <w:b/>
        </w:rPr>
        <w:t>8</w:t>
      </w:r>
    </w:p>
    <w:p w14:paraId="278DF347" w14:textId="77777777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BBAA0BF" w14:textId="405EF889" w:rsidR="00FC5C4F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167165FB" w14:textId="2077F9BA" w:rsidR="003A4877" w:rsidRDefault="0001285D" w:rsidP="00FC5C4F">
      <w:pPr>
        <w:jc w:val="center"/>
        <w:rPr>
          <w:rFonts w:ascii="Times New Roman" w:hAnsi="Times New Roman" w:cs="Times New Roman"/>
          <w:b/>
        </w:rPr>
      </w:pPr>
      <w:r w:rsidRPr="0001285D">
        <w:rPr>
          <w:noProof/>
        </w:rPr>
        <w:drawing>
          <wp:inline distT="0" distB="0" distL="0" distR="0" wp14:anchorId="73DF2980" wp14:editId="0F32A605">
            <wp:extent cx="5971286" cy="7032802"/>
            <wp:effectExtent l="19050" t="19050" r="10795" b="1587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385" cy="703998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755150" w14:textId="367E0827" w:rsidR="003A4877" w:rsidRPr="002678C2" w:rsidRDefault="00C3466F" w:rsidP="003A487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A4877"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CD8A817" w14:textId="77777777" w:rsidR="00B14E2B" w:rsidRDefault="00B14E2B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2C6E66A5" w14:textId="77777777" w:rsidR="003A4F0D" w:rsidRDefault="003A4F0D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E9E441E" w14:textId="22649652" w:rsidR="002B1F6F" w:rsidRPr="00024F5C" w:rsidRDefault="00A237B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Procedimiento Administrativo Sancionatorio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56DB3269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227B58">
        <w:rPr>
          <w:rFonts w:ascii="Times New Roman" w:hAnsi="Times New Roman" w:cs="Times New Roman"/>
        </w:rPr>
        <w:t>mayo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CA3A52">
        <w:rPr>
          <w:rFonts w:ascii="Times New Roman" w:hAnsi="Times New Roman" w:cs="Times New Roman"/>
        </w:rPr>
        <w:t xml:space="preserve">ieron sanciones </w:t>
      </w:r>
      <w:r w:rsidRPr="00CD5E1D">
        <w:rPr>
          <w:rFonts w:ascii="Times New Roman" w:hAnsi="Times New Roman" w:cs="Times New Roman"/>
        </w:rPr>
        <w:t xml:space="preserve">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188A0196" w14:textId="26E45A91" w:rsidR="00BA75D7" w:rsidRDefault="00BA75D7" w:rsidP="00BA75D7">
      <w:pPr>
        <w:jc w:val="both"/>
        <w:rPr>
          <w:rFonts w:ascii="Times New Roman" w:hAnsi="Times New Roman" w:cs="Times New Roman"/>
          <w:b/>
        </w:rPr>
      </w:pPr>
    </w:p>
    <w:p w14:paraId="28567DFC" w14:textId="6C147FED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87020E">
        <w:rPr>
          <w:rFonts w:ascii="Times New Roman" w:hAnsi="Times New Roman" w:cs="Times New Roman"/>
          <w:b/>
        </w:rPr>
        <w:t>19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61F477F1" w:rsidR="00CD5E1D" w:rsidRDefault="00C1463B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C1463B">
        <w:rPr>
          <w:noProof/>
        </w:rPr>
        <w:drawing>
          <wp:inline distT="0" distB="0" distL="0" distR="0" wp14:anchorId="4B01633A" wp14:editId="1C365DF2">
            <wp:extent cx="5422900" cy="2157730"/>
            <wp:effectExtent l="0" t="0" r="6350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936" cy="215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DEA8F9D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16CA409E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681DA717" w14:textId="77777777" w:rsidR="00822E9F" w:rsidRDefault="00822E9F" w:rsidP="002B1F6F">
      <w:pPr>
        <w:jc w:val="both"/>
        <w:rPr>
          <w:szCs w:val="22"/>
        </w:rPr>
      </w:pPr>
    </w:p>
    <w:p w14:paraId="67A592B4" w14:textId="1E1E3719" w:rsidR="00D136E6" w:rsidRPr="00616D60" w:rsidRDefault="00D136E6" w:rsidP="00D136E6">
      <w:pPr>
        <w:jc w:val="both"/>
        <w:rPr>
          <w:rFonts w:ascii="Times New Roman" w:hAnsi="Times New Roman" w:cs="Times New Roman"/>
        </w:rPr>
      </w:pPr>
      <w:r w:rsidRPr="00616D60">
        <w:rPr>
          <w:rFonts w:ascii="Times New Roman" w:hAnsi="Times New Roman" w:cs="Times New Roman"/>
        </w:rPr>
        <w:t xml:space="preserve">En </w:t>
      </w:r>
      <w:r w:rsidR="00227B58">
        <w:rPr>
          <w:rFonts w:ascii="Times New Roman" w:hAnsi="Times New Roman" w:cs="Times New Roman"/>
        </w:rPr>
        <w:t>mayo</w:t>
      </w:r>
      <w:r w:rsidRPr="00616D60">
        <w:rPr>
          <w:rFonts w:ascii="Times New Roman" w:hAnsi="Times New Roman" w:cs="Times New Roman"/>
        </w:rPr>
        <w:t>, los Departamentos Legal y Verificación y Vigilancia emitieron resoluciones de aprobación y registro de Contratos de Adhesión y dictámenes técnicos de la verificación de los Certificados de Calibración de Instrumentos de Medición y Pesaje respectivamente, como se puede observar en el cuadro siguiente:</w:t>
      </w:r>
    </w:p>
    <w:p w14:paraId="56C9369B" w14:textId="639D09A3" w:rsidR="00DB7BD9" w:rsidRDefault="00DB7BD9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8313C4" w14:textId="69EB07B4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2</w:t>
      </w:r>
      <w:r w:rsidR="0087020E">
        <w:rPr>
          <w:rFonts w:ascii="Times New Roman" w:hAnsi="Times New Roman" w:cs="Times New Roman"/>
          <w:b/>
        </w:rPr>
        <w:t>0</w:t>
      </w:r>
    </w:p>
    <w:p w14:paraId="1E9A2E81" w14:textId="788585BF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3DB21BD" w:rsidR="002B1F6F" w:rsidRPr="00E04157" w:rsidRDefault="000D7386" w:rsidP="001D51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Verificación de Certificados</w:t>
      </w:r>
      <w:r w:rsidR="001D517F" w:rsidRPr="00E04157">
        <w:rPr>
          <w:rFonts w:ascii="Times New Roman" w:hAnsi="Times New Roman" w:cs="Times New Roman"/>
          <w:b/>
        </w:rPr>
        <w:t xml:space="preserve"> </w:t>
      </w:r>
      <w:r w:rsidR="00812842" w:rsidRPr="00E04157"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</w:rPr>
        <w:t xml:space="preserve"> Calibración </w:t>
      </w:r>
    </w:p>
    <w:p w14:paraId="68CAA968" w14:textId="24C30178" w:rsidR="001D517F" w:rsidRPr="00812842" w:rsidRDefault="00C1463B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463B">
        <w:rPr>
          <w:noProof/>
        </w:rPr>
        <w:drawing>
          <wp:inline distT="0" distB="0" distL="0" distR="0" wp14:anchorId="0FD52917" wp14:editId="0E3B2420">
            <wp:extent cx="5558072" cy="1443355"/>
            <wp:effectExtent l="0" t="0" r="5080" b="4445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237" cy="144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3A687773" w:rsidR="005232ED" w:rsidRDefault="00587D5E" w:rsidP="00587D5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5B33FAB9" w14:textId="74267215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1F37888" w14:textId="3FB3F92D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6B023F" w14:textId="2287B357" w:rsidR="006B0BE2" w:rsidRDefault="006B0BE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AF7D8E9" w14:textId="2149475A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342FFF8" w14:textId="0C629062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C49B76C" w14:textId="730E906F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0C7E93D" w14:textId="2517BA2D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A4E1835" w14:textId="41036426" w:rsidR="005F0EA2" w:rsidRDefault="005F0EA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A25D6CE" w14:textId="58AE5DDF" w:rsidR="005F0EA2" w:rsidRDefault="005F0EA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542754" w14:textId="77777777" w:rsidR="005F0EA2" w:rsidRDefault="005F0EA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A3B2302" w14:textId="65990483" w:rsidR="002121E9" w:rsidRDefault="000D7FED" w:rsidP="003A72A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B865EB8" wp14:editId="661DCAAA">
                <wp:simplePos x="0" y="0"/>
                <wp:positionH relativeFrom="column">
                  <wp:posOffset>-661</wp:posOffset>
                </wp:positionH>
                <wp:positionV relativeFrom="paragraph">
                  <wp:posOffset>-51</wp:posOffset>
                </wp:positionV>
                <wp:extent cx="5691225" cy="412750"/>
                <wp:effectExtent l="0" t="0" r="0" b="7620"/>
                <wp:wrapNone/>
                <wp:docPr id="73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41241" w14:textId="6010C02B" w:rsidR="003A72A3" w:rsidRPr="004F2262" w:rsidRDefault="003A72A3" w:rsidP="004F2262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Unidad de </w:t>
                            </w:r>
                            <w:r w:rsidR="006F50BA"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Protección de </w:t>
                            </w: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Servicios Financieros</w:t>
                            </w:r>
                            <w:r w:rsid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-UPSF-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65EB8" id="_x0000_t202" coordsize="21600,21600" o:spt="202" path="m,l,21600r21600,l21600,xe">
                <v:stroke joinstyle="miter"/>
                <v:path gradientshapeok="t" o:connecttype="rect"/>
              </v:shapetype>
              <v:shape id="Cuadro de texto 73" o:spid="_x0000_s1027" type="#_x0000_t202" style="position:absolute;left:0;text-align:left;margin-left:-.05pt;margin-top:0;width:448.15pt;height:3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" filled="f" stroked="f">
                <v:textbox style="mso-fit-shape-to-text:t">
                  <w:txbxContent>
                    <w:p w14:paraId="12241241" w14:textId="6010C02B" w:rsidR="003A72A3" w:rsidRPr="004F2262" w:rsidRDefault="003A72A3" w:rsidP="004F2262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Unidad de </w:t>
                      </w:r>
                      <w:r w:rsidR="006F50BA"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Protección de </w:t>
                      </w: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Servicios Financieros</w:t>
                      </w:r>
                      <w:r w:rsid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-UPSF-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BD3277" w14:textId="48E0DA2A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7CE4570" w14:textId="3F4ACF66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0363AE" w14:textId="0113EC1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542A8E" w14:textId="5BF1766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C7809A4" w14:textId="187DF15D" w:rsidR="002121E9" w:rsidRPr="006F50BA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6F50BA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Recepción de Quejas por Actividad Económica </w:t>
      </w:r>
    </w:p>
    <w:p w14:paraId="74168BAE" w14:textId="77777777" w:rsidR="002121E9" w:rsidRPr="00D47143" w:rsidRDefault="002121E9" w:rsidP="00DE2788">
      <w:pPr>
        <w:rPr>
          <w:lang w:val="es-GT" w:eastAsia="es-MX"/>
        </w:rPr>
      </w:pPr>
    </w:p>
    <w:p w14:paraId="00CE3A7D" w14:textId="03D99948" w:rsidR="00443B2C" w:rsidRDefault="00CF5456" w:rsidP="00443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el mes de mayo se recibieron 230 quejas, en la Sede Central a través de </w:t>
      </w:r>
      <w:r w:rsidR="00D72B53">
        <w:rPr>
          <w:rFonts w:ascii="Times New Roman" w:hAnsi="Times New Roman" w:cs="Times New Roman"/>
        </w:rPr>
        <w:t>la</w:t>
      </w:r>
      <w:r w:rsidR="002121E9" w:rsidRPr="00D47143">
        <w:rPr>
          <w:rFonts w:ascii="Times New Roman" w:hAnsi="Times New Roman" w:cs="Times New Roman"/>
        </w:rPr>
        <w:t xml:space="preserve"> Unidad de Protección de Servicios Financieros, se recibieron </w:t>
      </w:r>
      <w:r>
        <w:rPr>
          <w:rFonts w:ascii="Times New Roman" w:hAnsi="Times New Roman" w:cs="Times New Roman"/>
        </w:rPr>
        <w:t>208</w:t>
      </w:r>
      <w:r w:rsidR="002121E9"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</w:t>
      </w:r>
      <w:r w:rsidR="000D7386">
        <w:rPr>
          <w:rFonts w:ascii="Times New Roman" w:hAnsi="Times New Roman" w:cs="Times New Roman"/>
        </w:rPr>
        <w:t xml:space="preserve">y en </w:t>
      </w:r>
      <w:r>
        <w:rPr>
          <w:rFonts w:ascii="Times New Roman" w:hAnsi="Times New Roman" w:cs="Times New Roman"/>
        </w:rPr>
        <w:t xml:space="preserve">las </w:t>
      </w:r>
      <w:r w:rsidR="000D7386">
        <w:rPr>
          <w:rFonts w:ascii="Times New Roman" w:hAnsi="Times New Roman" w:cs="Times New Roman"/>
        </w:rPr>
        <w:t xml:space="preserve">Sedes Departamentales </w:t>
      </w:r>
      <w:r w:rsidR="00227B5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quejas</w:t>
      </w:r>
      <w:r w:rsidR="002121E9" w:rsidRPr="00D47143">
        <w:rPr>
          <w:rFonts w:ascii="Times New Roman" w:hAnsi="Times New Roman" w:cs="Times New Roman"/>
        </w:rPr>
        <w:t>, como se puede apreciar en el cuadro siguiente:</w:t>
      </w:r>
    </w:p>
    <w:p w14:paraId="49509EB4" w14:textId="77777777" w:rsidR="00443B2C" w:rsidRDefault="00443B2C" w:rsidP="00443B2C">
      <w:pPr>
        <w:jc w:val="both"/>
        <w:rPr>
          <w:rFonts w:ascii="Times New Roman" w:hAnsi="Times New Roman" w:cs="Times New Roman"/>
        </w:rPr>
      </w:pPr>
    </w:p>
    <w:p w14:paraId="4172E4D9" w14:textId="0847E301" w:rsidR="002121E9" w:rsidRPr="001C03FD" w:rsidRDefault="002121E9" w:rsidP="00443B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 w:rsidR="00051523">
        <w:rPr>
          <w:rFonts w:ascii="Times New Roman" w:hAnsi="Times New Roman" w:cs="Times New Roman"/>
          <w:b/>
          <w:sz w:val="22"/>
          <w:szCs w:val="22"/>
        </w:rPr>
        <w:t>1</w:t>
      </w:r>
    </w:p>
    <w:p w14:paraId="6FC231D8" w14:textId="77777777" w:rsidR="002121E9" w:rsidRDefault="002121E9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07FF2395" w14:textId="76AD71E0" w:rsidR="002121E9" w:rsidRPr="00742CAB" w:rsidRDefault="00CA3897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A3897">
        <w:rPr>
          <w:noProof/>
        </w:rPr>
        <w:drawing>
          <wp:inline distT="0" distB="0" distL="0" distR="0" wp14:anchorId="58FEDC9D" wp14:editId="529D027D">
            <wp:extent cx="5906720" cy="148780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63" cy="150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E528" w14:textId="0DDCA12B" w:rsidR="001F0A8E" w:rsidRPr="004F2262" w:rsidRDefault="002121E9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F2262">
        <w:rPr>
          <w:rFonts w:ascii="Times New Roman" w:hAnsi="Times New Roman" w:cs="Times New Roman"/>
          <w:sz w:val="16"/>
          <w:szCs w:val="16"/>
        </w:rPr>
        <w:t xml:space="preserve">Fuente: </w:t>
      </w:r>
      <w:r w:rsidR="00536C3F" w:rsidRPr="004F2262">
        <w:rPr>
          <w:rFonts w:ascii="Times New Roman" w:hAnsi="Times New Roman" w:cs="Times New Roman"/>
          <w:sz w:val="16"/>
          <w:szCs w:val="16"/>
        </w:rPr>
        <w:t>Departamento</w:t>
      </w:r>
      <w:r w:rsidR="001F0A8E" w:rsidRPr="004F2262">
        <w:rPr>
          <w:rFonts w:ascii="Times New Roman" w:hAnsi="Times New Roman" w:cs="Times New Roman"/>
          <w:sz w:val="16"/>
          <w:szCs w:val="16"/>
        </w:rPr>
        <w:t>s</w:t>
      </w:r>
      <w:r w:rsidR="00536C3F" w:rsidRPr="004F2262">
        <w:rPr>
          <w:rFonts w:ascii="Times New Roman" w:hAnsi="Times New Roman" w:cs="Times New Roman"/>
          <w:sz w:val="16"/>
          <w:szCs w:val="16"/>
        </w:rPr>
        <w:t xml:space="preserve">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536C3F" w:rsidRPr="004F2262">
        <w:rPr>
          <w:rFonts w:ascii="Times New Roman" w:hAnsi="Times New Roman" w:cs="Times New Roman"/>
          <w:sz w:val="16"/>
          <w:szCs w:val="16"/>
        </w:rPr>
        <w:t>)</w:t>
      </w:r>
      <w:r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4F2262">
        <w:rPr>
          <w:rFonts w:ascii="Times New Roman" w:hAnsi="Times New Roman" w:cs="Times New Roman"/>
          <w:sz w:val="16"/>
          <w:szCs w:val="16"/>
        </w:rPr>
        <w:t xml:space="preserve">y </w:t>
      </w:r>
      <w:r w:rsidR="001F0A8E" w:rsidRPr="004F226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204C532" w14:textId="74221428" w:rsidR="002121E9" w:rsidRPr="00534F63" w:rsidRDefault="002121E9" w:rsidP="002121E9">
      <w:pPr>
        <w:jc w:val="both"/>
        <w:rPr>
          <w:rFonts w:ascii="Arial" w:hAnsi="Arial" w:cs="Arial"/>
          <w:sz w:val="16"/>
          <w:szCs w:val="16"/>
        </w:rPr>
      </w:pPr>
    </w:p>
    <w:p w14:paraId="6C0E0699" w14:textId="5227E493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06D824C" w14:textId="77777777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742C5A00" w14:textId="77777777" w:rsidR="00146876" w:rsidRPr="001C03FD" w:rsidRDefault="00146876" w:rsidP="001468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64859B46" w14:textId="47A4E396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227B58">
        <w:rPr>
          <w:rFonts w:ascii="Times New Roman" w:hAnsi="Times New Roman" w:cs="Times New Roman"/>
          <w:b/>
          <w:bCs/>
        </w:rPr>
        <w:t>Mayo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64308969" w14:textId="066D88A5" w:rsidR="00146876" w:rsidRPr="00146876" w:rsidRDefault="00CA3897" w:rsidP="00146876">
      <w:pPr>
        <w:jc w:val="center"/>
        <w:rPr>
          <w:rFonts w:ascii="Times New Roman" w:hAnsi="Times New Roman" w:cs="Times New Roman"/>
          <w:b/>
          <w:bCs/>
        </w:rPr>
      </w:pPr>
      <w:r w:rsidRPr="00CA3897">
        <w:rPr>
          <w:noProof/>
        </w:rPr>
        <w:drawing>
          <wp:inline distT="0" distB="0" distL="0" distR="0" wp14:anchorId="36FB21D3" wp14:editId="1C13F0B6">
            <wp:extent cx="5940909" cy="1618615"/>
            <wp:effectExtent l="0" t="0" r="3175" b="63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416" cy="162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55EF" w14:textId="641F9905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57F0B088" w14:textId="7F8FB3ED" w:rsidR="00146876" w:rsidRDefault="00146876" w:rsidP="00146876"/>
    <w:p w14:paraId="3FEED6EA" w14:textId="32A14218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Captación de Quejas </w:t>
      </w:r>
    </w:p>
    <w:p w14:paraId="48B79DE8" w14:textId="77777777" w:rsidR="002121E9" w:rsidRPr="00D47143" w:rsidRDefault="002121E9" w:rsidP="002121E9">
      <w:pPr>
        <w:jc w:val="both"/>
        <w:rPr>
          <w:rFonts w:ascii="Times New Roman" w:hAnsi="Times New Roman" w:cs="Times New Roman"/>
        </w:rPr>
      </w:pPr>
    </w:p>
    <w:p w14:paraId="4731B163" w14:textId="4770F511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227B58">
        <w:rPr>
          <w:rFonts w:ascii="Times New Roman" w:hAnsi="Times New Roman" w:cs="Times New Roman"/>
        </w:rPr>
        <w:t>mayo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recibieron </w:t>
      </w:r>
      <w:r w:rsidR="00227B58">
        <w:rPr>
          <w:rFonts w:ascii="Times New Roman" w:hAnsi="Times New Roman" w:cs="Times New Roman"/>
        </w:rPr>
        <w:t>230</w:t>
      </w:r>
      <w:r w:rsidR="00443B2C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presentadas por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por los tres medios de captación de quejas que dispone la DIACO, de las cuales, en </w:t>
      </w:r>
      <w:r w:rsidR="007F6A94">
        <w:rPr>
          <w:rFonts w:ascii="Times New Roman" w:hAnsi="Times New Roman" w:cs="Times New Roman"/>
        </w:rPr>
        <w:t xml:space="preserve">la </w:t>
      </w:r>
      <w:r w:rsidRPr="00D47143">
        <w:rPr>
          <w:rFonts w:ascii="Times New Roman" w:hAnsi="Times New Roman" w:cs="Times New Roman"/>
        </w:rPr>
        <w:t>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D47143">
        <w:rPr>
          <w:rFonts w:ascii="Times New Roman" w:hAnsi="Times New Roman" w:cs="Times New Roman"/>
        </w:rPr>
        <w:t xml:space="preserve">, se recibieron </w:t>
      </w:r>
      <w:r w:rsidR="00227B58">
        <w:rPr>
          <w:rFonts w:ascii="Times New Roman" w:hAnsi="Times New Roman" w:cs="Times New Roman"/>
        </w:rPr>
        <w:t>208</w:t>
      </w:r>
      <w:r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en la Sede Central</w:t>
      </w:r>
      <w:r w:rsidRPr="00D47143">
        <w:rPr>
          <w:rFonts w:ascii="Times New Roman" w:hAnsi="Times New Roman" w:cs="Times New Roman"/>
        </w:rPr>
        <w:t xml:space="preserve"> y </w:t>
      </w:r>
      <w:r w:rsidR="00227B58">
        <w:rPr>
          <w:rFonts w:ascii="Times New Roman" w:hAnsi="Times New Roman" w:cs="Times New Roman"/>
        </w:rPr>
        <w:t>22</w:t>
      </w:r>
      <w:r w:rsidR="00E46736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 xml:space="preserve">en </w:t>
      </w:r>
      <w:r w:rsidR="007F6A94">
        <w:rPr>
          <w:rFonts w:ascii="Times New Roman" w:hAnsi="Times New Roman" w:cs="Times New Roman"/>
        </w:rPr>
        <w:t xml:space="preserve">las </w:t>
      </w:r>
      <w:r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586EF037" w14:textId="6542464F" w:rsidR="002121E9" w:rsidRDefault="002121E9" w:rsidP="002121E9">
      <w:pPr>
        <w:jc w:val="both"/>
        <w:rPr>
          <w:rFonts w:ascii="Times New Roman" w:hAnsi="Times New Roman" w:cs="Times New Roman"/>
        </w:rPr>
      </w:pPr>
    </w:p>
    <w:p w14:paraId="2299349F" w14:textId="6F716D3B" w:rsidR="0048741E" w:rsidRDefault="0048741E" w:rsidP="002121E9">
      <w:pPr>
        <w:jc w:val="center"/>
        <w:rPr>
          <w:rFonts w:ascii="Times New Roman" w:hAnsi="Times New Roman" w:cs="Times New Roman"/>
          <w:b/>
        </w:rPr>
      </w:pPr>
    </w:p>
    <w:p w14:paraId="6D785A74" w14:textId="77777777" w:rsidR="005F0EA2" w:rsidRDefault="005F0EA2" w:rsidP="002121E9">
      <w:pPr>
        <w:jc w:val="center"/>
        <w:rPr>
          <w:rFonts w:ascii="Times New Roman" w:hAnsi="Times New Roman" w:cs="Times New Roman"/>
          <w:b/>
        </w:rPr>
      </w:pPr>
    </w:p>
    <w:p w14:paraId="298F18F0" w14:textId="77777777" w:rsidR="00495E7D" w:rsidRDefault="00495E7D" w:rsidP="002121E9">
      <w:pPr>
        <w:jc w:val="center"/>
        <w:rPr>
          <w:rFonts w:ascii="Times New Roman" w:hAnsi="Times New Roman" w:cs="Times New Roman"/>
          <w:b/>
        </w:rPr>
      </w:pPr>
    </w:p>
    <w:p w14:paraId="3302523C" w14:textId="711ABB44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3</w:t>
      </w:r>
    </w:p>
    <w:p w14:paraId="7B19A2FB" w14:textId="51BF631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36497E8A" w14:textId="738C8951" w:rsidR="00146876" w:rsidRPr="00D47143" w:rsidRDefault="00CA3897" w:rsidP="002121E9">
      <w:pPr>
        <w:jc w:val="center"/>
        <w:rPr>
          <w:noProof/>
        </w:rPr>
      </w:pPr>
      <w:r w:rsidRPr="00CA3897">
        <w:rPr>
          <w:noProof/>
        </w:rPr>
        <w:drawing>
          <wp:inline distT="0" distB="0" distL="0" distR="0" wp14:anchorId="2AA3F75E" wp14:editId="749D913C">
            <wp:extent cx="5908402" cy="1845310"/>
            <wp:effectExtent l="0" t="0" r="0" b="254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3" cy="186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36B8" w14:textId="2B3E3E6E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218E7990" w14:textId="55CA8466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D3BA6A1" w14:textId="699663AB" w:rsidR="00146876" w:rsidRDefault="00146876" w:rsidP="0014687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 que dispone la DIACO</w:t>
      </w:r>
      <w:r w:rsidR="00A274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27B58">
        <w:rPr>
          <w:rFonts w:ascii="Times New Roman" w:hAnsi="Times New Roman" w:cs="Times New Roman"/>
        </w:rPr>
        <w:t>1,084</w:t>
      </w:r>
      <w:r w:rsidRPr="00910D9A">
        <w:rPr>
          <w:rFonts w:ascii="Times New Roman" w:hAnsi="Times New Roman" w:cs="Times New Roman"/>
        </w:rPr>
        <w:t xml:space="preserve"> quejas; </w:t>
      </w:r>
      <w:r w:rsidR="00227B58">
        <w:rPr>
          <w:rFonts w:ascii="Times New Roman" w:hAnsi="Times New Roman" w:cs="Times New Roman"/>
        </w:rPr>
        <w:t>1,027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227B58">
        <w:rPr>
          <w:rFonts w:ascii="Times New Roman" w:hAnsi="Times New Roman" w:cs="Times New Roman"/>
        </w:rPr>
        <w:t>57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las Sedes Departamentales, como se detalla a continuación:</w:t>
      </w:r>
    </w:p>
    <w:p w14:paraId="0AB8AB75" w14:textId="77777777" w:rsidR="007F6A94" w:rsidRDefault="007F6A94" w:rsidP="00146876">
      <w:pPr>
        <w:jc w:val="both"/>
        <w:rPr>
          <w:rFonts w:ascii="Times New Roman" w:hAnsi="Times New Roman" w:cs="Times New Roman"/>
        </w:rPr>
      </w:pPr>
    </w:p>
    <w:p w14:paraId="6C2CEE81" w14:textId="2D958376" w:rsidR="00146876" w:rsidRPr="00684ADE" w:rsidRDefault="00146876" w:rsidP="001468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4</w:t>
      </w:r>
    </w:p>
    <w:p w14:paraId="12C6BB69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6D105806" w14:textId="783D88C2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227B58">
        <w:rPr>
          <w:rFonts w:ascii="Times New Roman" w:hAnsi="Times New Roman" w:cs="Times New Roman"/>
          <w:b/>
        </w:rPr>
        <w:t>Mayo</w:t>
      </w:r>
      <w:r>
        <w:rPr>
          <w:rFonts w:ascii="Times New Roman" w:hAnsi="Times New Roman" w:cs="Times New Roman"/>
          <w:b/>
        </w:rPr>
        <w:t xml:space="preserve"> 2025</w:t>
      </w:r>
    </w:p>
    <w:p w14:paraId="6BD39301" w14:textId="7BE0FC7F" w:rsidR="00146876" w:rsidRDefault="00CA3897" w:rsidP="00146876">
      <w:pPr>
        <w:jc w:val="center"/>
        <w:rPr>
          <w:rFonts w:ascii="Times New Roman" w:hAnsi="Times New Roman" w:cs="Times New Roman"/>
          <w:b/>
        </w:rPr>
      </w:pPr>
      <w:r w:rsidRPr="00CA3897">
        <w:rPr>
          <w:noProof/>
        </w:rPr>
        <w:drawing>
          <wp:inline distT="0" distB="0" distL="0" distR="0" wp14:anchorId="47B82F65" wp14:editId="44E54EBE">
            <wp:extent cx="5952490" cy="1885204"/>
            <wp:effectExtent l="0" t="0" r="0" b="127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52" cy="18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925E" w14:textId="0DEDC972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6CB41F87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</w:p>
    <w:p w14:paraId="5132C708" w14:textId="3D33153E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Quejas Documentadas </w:t>
      </w:r>
    </w:p>
    <w:p w14:paraId="240A71D3" w14:textId="77777777" w:rsidR="002121E9" w:rsidRPr="00DE2788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</w:p>
    <w:p w14:paraId="3FBD5F0E" w14:textId="1CBE7E44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227B58">
        <w:rPr>
          <w:rFonts w:ascii="Times New Roman" w:hAnsi="Times New Roman" w:cs="Times New Roman"/>
        </w:rPr>
        <w:t>mayo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documentaron </w:t>
      </w:r>
      <w:r w:rsidR="00227B58">
        <w:rPr>
          <w:rFonts w:ascii="Times New Roman" w:hAnsi="Times New Roman" w:cs="Times New Roman"/>
        </w:rPr>
        <w:t>154</w:t>
      </w:r>
      <w:r w:rsidRPr="00D47143">
        <w:rPr>
          <w:rFonts w:ascii="Times New Roman" w:hAnsi="Times New Roman" w:cs="Times New Roman"/>
        </w:rPr>
        <w:t xml:space="preserve"> quejas por parte de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de las </w:t>
      </w:r>
      <w:r w:rsidR="008E71F3" w:rsidRPr="00D47143">
        <w:rPr>
          <w:rFonts w:ascii="Times New Roman" w:hAnsi="Times New Roman" w:cs="Times New Roman"/>
        </w:rPr>
        <w:t>cuales,</w:t>
      </w:r>
      <w:r w:rsidRPr="00D47143">
        <w:rPr>
          <w:rFonts w:ascii="Times New Roman" w:hAnsi="Times New Roman" w:cs="Times New Roman"/>
        </w:rPr>
        <w:t xml:space="preserve"> en </w:t>
      </w:r>
      <w:r w:rsidR="007F6A94">
        <w:rPr>
          <w:rFonts w:ascii="Times New Roman" w:hAnsi="Times New Roman" w:cs="Times New Roman"/>
        </w:rPr>
        <w:t xml:space="preserve">la </w:t>
      </w:r>
      <w:r w:rsidRPr="00D47143">
        <w:rPr>
          <w:rFonts w:ascii="Times New Roman" w:hAnsi="Times New Roman" w:cs="Times New Roman"/>
        </w:rPr>
        <w:t>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Financieros, </w:t>
      </w:r>
      <w:r w:rsidRPr="00D47143">
        <w:rPr>
          <w:rFonts w:ascii="Times New Roman" w:hAnsi="Times New Roman" w:cs="Times New Roman"/>
        </w:rPr>
        <w:t xml:space="preserve">fueron documentadas </w:t>
      </w:r>
      <w:r w:rsidR="00227B58">
        <w:rPr>
          <w:rFonts w:ascii="Times New Roman" w:hAnsi="Times New Roman" w:cs="Times New Roman"/>
        </w:rPr>
        <w:t>132</w:t>
      </w:r>
      <w:r w:rsidR="003D110F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y </w:t>
      </w:r>
      <w:r w:rsidR="00227B58">
        <w:rPr>
          <w:rFonts w:ascii="Times New Roman" w:hAnsi="Times New Roman" w:cs="Times New Roman"/>
        </w:rPr>
        <w:t>22</w:t>
      </w:r>
      <w:r w:rsidR="00E46736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 xml:space="preserve">en </w:t>
      </w:r>
      <w:r w:rsidR="007F6A94">
        <w:rPr>
          <w:rFonts w:ascii="Times New Roman" w:hAnsi="Times New Roman" w:cs="Times New Roman"/>
        </w:rPr>
        <w:t xml:space="preserve">las </w:t>
      </w:r>
      <w:r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4DDE5440" w14:textId="77777777" w:rsidR="00CA3897" w:rsidRPr="00D47143" w:rsidRDefault="00CA3897" w:rsidP="002121E9">
      <w:pPr>
        <w:jc w:val="both"/>
        <w:rPr>
          <w:rFonts w:ascii="Times New Roman" w:hAnsi="Times New Roman" w:cs="Times New Roman"/>
        </w:rPr>
      </w:pPr>
    </w:p>
    <w:p w14:paraId="01AA0746" w14:textId="0C0480C3" w:rsidR="005E5E62" w:rsidRDefault="005E5E62" w:rsidP="002121E9">
      <w:pPr>
        <w:jc w:val="center"/>
        <w:rPr>
          <w:rFonts w:ascii="Times New Roman" w:hAnsi="Times New Roman" w:cs="Times New Roman"/>
          <w:b/>
        </w:rPr>
      </w:pPr>
    </w:p>
    <w:p w14:paraId="23CC6354" w14:textId="730B409D" w:rsidR="00A250FF" w:rsidRDefault="00A250FF" w:rsidP="002121E9">
      <w:pPr>
        <w:jc w:val="center"/>
        <w:rPr>
          <w:rFonts w:ascii="Times New Roman" w:hAnsi="Times New Roman" w:cs="Times New Roman"/>
          <w:b/>
        </w:rPr>
      </w:pPr>
    </w:p>
    <w:p w14:paraId="11BAC298" w14:textId="44C808ED" w:rsidR="00A250FF" w:rsidRDefault="00A250FF" w:rsidP="002121E9">
      <w:pPr>
        <w:jc w:val="center"/>
        <w:rPr>
          <w:rFonts w:ascii="Times New Roman" w:hAnsi="Times New Roman" w:cs="Times New Roman"/>
          <w:b/>
        </w:rPr>
      </w:pPr>
    </w:p>
    <w:p w14:paraId="490B3F6B" w14:textId="77777777" w:rsidR="00A250FF" w:rsidRDefault="00A250FF" w:rsidP="002121E9">
      <w:pPr>
        <w:jc w:val="center"/>
        <w:rPr>
          <w:rFonts w:ascii="Times New Roman" w:hAnsi="Times New Roman" w:cs="Times New Roman"/>
          <w:b/>
        </w:rPr>
      </w:pPr>
    </w:p>
    <w:p w14:paraId="2F1E942D" w14:textId="77777777" w:rsidR="00AD343D" w:rsidRDefault="00AD343D" w:rsidP="002121E9">
      <w:pPr>
        <w:jc w:val="center"/>
        <w:rPr>
          <w:rFonts w:ascii="Times New Roman" w:hAnsi="Times New Roman" w:cs="Times New Roman"/>
          <w:b/>
        </w:rPr>
      </w:pPr>
    </w:p>
    <w:p w14:paraId="611830E4" w14:textId="4CF1CC34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5</w:t>
      </w:r>
    </w:p>
    <w:p w14:paraId="78188F0A" w14:textId="7C3DF52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6FF30A98" w14:textId="27AED209" w:rsidR="00146876" w:rsidRPr="00D47143" w:rsidRDefault="00CA3897" w:rsidP="002121E9">
      <w:pPr>
        <w:jc w:val="center"/>
        <w:rPr>
          <w:rFonts w:ascii="Times New Roman" w:hAnsi="Times New Roman" w:cs="Times New Roman"/>
          <w:b/>
        </w:rPr>
      </w:pPr>
      <w:r w:rsidRPr="00CA3897">
        <w:rPr>
          <w:noProof/>
        </w:rPr>
        <w:drawing>
          <wp:inline distT="0" distB="0" distL="0" distR="0" wp14:anchorId="00E22504" wp14:editId="0585FF0B">
            <wp:extent cx="5823465" cy="959485"/>
            <wp:effectExtent l="0" t="0" r="635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718" cy="96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0E90" w14:textId="0D78ECEE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   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</w:t>
      </w:r>
      <w:r w:rsidR="00757765">
        <w:rPr>
          <w:rFonts w:ascii="Times New Roman" w:hAnsi="Times New Roman" w:cs="Times New Roman"/>
          <w:sz w:val="16"/>
          <w:szCs w:val="16"/>
        </w:rPr>
        <w:t xml:space="preserve">y </w:t>
      </w:r>
      <w:r w:rsidRPr="004F226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312810FB" w14:textId="69202F31" w:rsidR="004C1918" w:rsidRDefault="004C1918" w:rsidP="001F0A8E">
      <w:pPr>
        <w:jc w:val="both"/>
        <w:rPr>
          <w:rFonts w:ascii="Arial" w:hAnsi="Arial" w:cs="Arial"/>
          <w:sz w:val="16"/>
          <w:szCs w:val="16"/>
        </w:rPr>
      </w:pPr>
    </w:p>
    <w:p w14:paraId="629FC000" w14:textId="2284F86B" w:rsidR="00B2098F" w:rsidRPr="00910D9A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161FFE">
        <w:rPr>
          <w:rFonts w:ascii="Times New Roman" w:hAnsi="Times New Roman" w:cs="Times New Roman"/>
        </w:rPr>
        <w:t>548</w:t>
      </w:r>
      <w:r w:rsidRPr="00910D9A">
        <w:rPr>
          <w:rFonts w:ascii="Times New Roman" w:hAnsi="Times New Roman" w:cs="Times New Roman"/>
        </w:rPr>
        <w:t xml:space="preserve"> quejas; </w:t>
      </w:r>
      <w:r w:rsidR="00161FFE">
        <w:rPr>
          <w:rFonts w:ascii="Times New Roman" w:hAnsi="Times New Roman" w:cs="Times New Roman"/>
        </w:rPr>
        <w:t>491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161FFE">
        <w:rPr>
          <w:rFonts w:ascii="Times New Roman" w:hAnsi="Times New Roman" w:cs="Times New Roman"/>
        </w:rPr>
        <w:t>57</w:t>
      </w:r>
      <w:r w:rsidRPr="00910D9A">
        <w:rPr>
          <w:rFonts w:ascii="Times New Roman" w:hAnsi="Times New Roman" w:cs="Times New Roman"/>
        </w:rPr>
        <w:t xml:space="preserve"> </w:t>
      </w:r>
      <w:r w:rsidR="007F6A94">
        <w:rPr>
          <w:rFonts w:ascii="Times New Roman" w:hAnsi="Times New Roman" w:cs="Times New Roman"/>
        </w:rPr>
        <w:t xml:space="preserve">quejas </w:t>
      </w:r>
      <w:r w:rsidRPr="00910D9A">
        <w:rPr>
          <w:rFonts w:ascii="Times New Roman" w:hAnsi="Times New Roman" w:cs="Times New Roman"/>
        </w:rPr>
        <w:t>en las Sedes Departamentales, como se detalla a continuación:</w:t>
      </w:r>
    </w:p>
    <w:p w14:paraId="00657317" w14:textId="2FD08B2C" w:rsidR="009A69BC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9A882D7" w14:textId="0A1148A1" w:rsidR="00B2098F" w:rsidRPr="00F84D71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6</w:t>
      </w:r>
    </w:p>
    <w:p w14:paraId="50B06A11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1AE1E0AD" w14:textId="6E623FBA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161FFE">
        <w:rPr>
          <w:rFonts w:ascii="Times New Roman" w:hAnsi="Times New Roman" w:cs="Times New Roman"/>
          <w:b/>
        </w:rPr>
        <w:t>Mayo</w:t>
      </w:r>
      <w:r w:rsidR="0048741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2025</w:t>
      </w:r>
    </w:p>
    <w:p w14:paraId="318622BB" w14:textId="7D778CD9" w:rsidR="00B2098F" w:rsidRDefault="00CA3897" w:rsidP="00B2098F">
      <w:pPr>
        <w:jc w:val="center"/>
        <w:rPr>
          <w:rFonts w:ascii="Times New Roman" w:hAnsi="Times New Roman" w:cs="Times New Roman"/>
          <w:b/>
        </w:rPr>
      </w:pPr>
      <w:r w:rsidRPr="00CA3897">
        <w:rPr>
          <w:noProof/>
        </w:rPr>
        <w:drawing>
          <wp:inline distT="0" distB="0" distL="0" distR="0" wp14:anchorId="2E202397" wp14:editId="1F756AED">
            <wp:extent cx="5917565" cy="925814"/>
            <wp:effectExtent l="0" t="0" r="0" b="825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80" cy="93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2B80" w14:textId="73261EA8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>) y</w:t>
      </w:r>
      <w:r w:rsidR="00B75D5A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AD343D" w:rsidRPr="004F2262">
        <w:rPr>
          <w:rFonts w:ascii="Times New Roman" w:hAnsi="Times New Roman" w:cs="Times New Roman"/>
          <w:sz w:val="16"/>
          <w:szCs w:val="16"/>
        </w:rPr>
        <w:t>Coordinación</w:t>
      </w:r>
      <w:r w:rsidRPr="004F2262">
        <w:rPr>
          <w:rFonts w:ascii="Times New Roman" w:hAnsi="Times New Roman" w:cs="Times New Roman"/>
          <w:sz w:val="16"/>
          <w:szCs w:val="16"/>
        </w:rPr>
        <w:t xml:space="preserve"> de Sedes </w:t>
      </w:r>
    </w:p>
    <w:p w14:paraId="12FABC5A" w14:textId="4EFCF8AB" w:rsidR="002121E9" w:rsidRDefault="002121E9" w:rsidP="00AF14BB">
      <w:pPr>
        <w:rPr>
          <w:rFonts w:ascii="Times New Roman" w:hAnsi="Times New Roman"/>
          <w:szCs w:val="28"/>
          <w:shd w:val="clear" w:color="auto" w:fill="E0E0E0"/>
        </w:rPr>
      </w:pPr>
    </w:p>
    <w:p w14:paraId="38188709" w14:textId="77777777" w:rsidR="002121E9" w:rsidRPr="003A4877" w:rsidRDefault="002121E9" w:rsidP="002121E9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Atención y Resolución de Quejas de la Unidad de Protección de Servicios Financieros y Asesorías</w:t>
      </w:r>
    </w:p>
    <w:p w14:paraId="200142E8" w14:textId="77777777" w:rsidR="002121E9" w:rsidRDefault="002121E9" w:rsidP="002121E9">
      <w:pPr>
        <w:jc w:val="center"/>
        <w:rPr>
          <w:rFonts w:ascii="Times New Roman" w:hAnsi="Times New Roman" w:cs="Times New Roman"/>
          <w:b/>
        </w:rPr>
      </w:pPr>
    </w:p>
    <w:p w14:paraId="6B708191" w14:textId="614CC91D" w:rsidR="002121E9" w:rsidRDefault="002121E9" w:rsidP="002121E9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161FFE">
        <w:rPr>
          <w:rFonts w:ascii="Times New Roman" w:hAnsi="Times New Roman" w:cs="Times New Roman"/>
        </w:rPr>
        <w:t>mayo</w:t>
      </w:r>
      <w:r w:rsidR="0012441E">
        <w:rPr>
          <w:rFonts w:ascii="Times New Roman" w:hAnsi="Times New Roman" w:cs="Times New Roman"/>
        </w:rPr>
        <w:t xml:space="preserve">, en la Unidad de Protección de Servicios Financieros, </w:t>
      </w:r>
      <w:r w:rsidRPr="00684ADE">
        <w:rPr>
          <w:rFonts w:ascii="Times New Roman" w:hAnsi="Times New Roman" w:cs="Times New Roman"/>
        </w:rPr>
        <w:t xml:space="preserve">se resolvieron </w:t>
      </w:r>
      <w:r w:rsidR="00161FFE"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>
        <w:rPr>
          <w:rFonts w:ascii="Times New Roman" w:hAnsi="Times New Roman" w:cs="Times New Roman"/>
        </w:rPr>
        <w:t xml:space="preserve">, </w:t>
      </w:r>
      <w:r w:rsidR="0048741E">
        <w:rPr>
          <w:rFonts w:ascii="Times New Roman" w:hAnsi="Times New Roman" w:cs="Times New Roman"/>
        </w:rPr>
        <w:t>1</w:t>
      </w:r>
      <w:r w:rsidR="00161FF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por mediación y </w:t>
      </w:r>
      <w:r w:rsidR="00161FFE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 xml:space="preserve"> por conciliación</w:t>
      </w:r>
      <w:r w:rsidRPr="00684ADE">
        <w:rPr>
          <w:rFonts w:ascii="Times New Roman" w:hAnsi="Times New Roman" w:cs="Times New Roman"/>
        </w:rPr>
        <w:t xml:space="preserve">. 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684ADE">
        <w:rPr>
          <w:rFonts w:ascii="Times New Roman" w:hAnsi="Times New Roman" w:cs="Times New Roman"/>
        </w:rPr>
        <w:t xml:space="preserve">consultas a </w:t>
      </w:r>
      <w:r w:rsidR="00161FFE">
        <w:rPr>
          <w:rFonts w:ascii="Times New Roman" w:hAnsi="Times New Roman" w:cs="Times New Roman"/>
        </w:rPr>
        <w:t>875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2D3F3C87" w14:textId="6E01D7AA" w:rsidR="009A69BC" w:rsidRDefault="009A69BC" w:rsidP="002121E9">
      <w:pPr>
        <w:jc w:val="both"/>
        <w:rPr>
          <w:rFonts w:ascii="Times New Roman" w:hAnsi="Times New Roman" w:cs="Times New Roman"/>
        </w:rPr>
      </w:pPr>
    </w:p>
    <w:p w14:paraId="42E15F33" w14:textId="4EDD9894" w:rsidR="002121E9" w:rsidRPr="00684ADE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7</w:t>
      </w:r>
    </w:p>
    <w:p w14:paraId="5B0DFF0B" w14:textId="42BDA834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  <w:r>
        <w:rPr>
          <w:rFonts w:ascii="Times New Roman" w:hAnsi="Times New Roman" w:cs="Times New Roman"/>
          <w:b/>
        </w:rPr>
        <w:t xml:space="preserve"> y Asesorías</w:t>
      </w:r>
    </w:p>
    <w:p w14:paraId="310434DA" w14:textId="77777777" w:rsidR="00AD7168" w:rsidRDefault="00CA3897" w:rsidP="00AD7168">
      <w:pPr>
        <w:jc w:val="center"/>
        <w:rPr>
          <w:rFonts w:ascii="Times New Roman" w:hAnsi="Times New Roman" w:cs="Times New Roman"/>
          <w:b/>
        </w:rPr>
      </w:pPr>
      <w:r w:rsidRPr="00CA3897">
        <w:rPr>
          <w:noProof/>
        </w:rPr>
        <w:drawing>
          <wp:inline distT="0" distB="0" distL="0" distR="0" wp14:anchorId="6F484868" wp14:editId="3A913768">
            <wp:extent cx="4378824" cy="1828800"/>
            <wp:effectExtent l="0" t="0" r="317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651" cy="183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28D4" w14:textId="31A0C625" w:rsidR="002121E9" w:rsidRPr="004F2262" w:rsidRDefault="00AD7168" w:rsidP="00AD71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1F0A8E"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1F0A8E" w:rsidRPr="004F2262">
        <w:rPr>
          <w:rFonts w:ascii="Times New Roman" w:hAnsi="Times New Roman" w:cs="Times New Roman"/>
          <w:sz w:val="16"/>
          <w:szCs w:val="16"/>
        </w:rPr>
        <w:t>)</w:t>
      </w:r>
    </w:p>
    <w:p w14:paraId="0F810CBC" w14:textId="77777777" w:rsidR="00822E9F" w:rsidRDefault="00822E9F" w:rsidP="00B2098F">
      <w:pPr>
        <w:jc w:val="both"/>
        <w:rPr>
          <w:rFonts w:ascii="Times New Roman" w:hAnsi="Times New Roman" w:cs="Times New Roman"/>
        </w:rPr>
      </w:pPr>
    </w:p>
    <w:p w14:paraId="1272294A" w14:textId="77777777" w:rsidR="004F2735" w:rsidRDefault="004F2735" w:rsidP="00B2098F">
      <w:pPr>
        <w:jc w:val="both"/>
        <w:rPr>
          <w:rFonts w:ascii="Times New Roman" w:hAnsi="Times New Roman" w:cs="Times New Roman"/>
        </w:rPr>
      </w:pPr>
    </w:p>
    <w:p w14:paraId="0A677B06" w14:textId="77777777" w:rsidR="00495E7D" w:rsidRDefault="00495E7D" w:rsidP="00B2098F">
      <w:pPr>
        <w:jc w:val="both"/>
        <w:rPr>
          <w:rFonts w:ascii="Times New Roman" w:hAnsi="Times New Roman" w:cs="Times New Roman"/>
        </w:rPr>
      </w:pPr>
    </w:p>
    <w:p w14:paraId="49B5C862" w14:textId="77777777" w:rsidR="00495E7D" w:rsidRDefault="00495E7D" w:rsidP="00B2098F">
      <w:pPr>
        <w:jc w:val="both"/>
        <w:rPr>
          <w:rFonts w:ascii="Times New Roman" w:hAnsi="Times New Roman" w:cs="Times New Roman"/>
        </w:rPr>
      </w:pPr>
    </w:p>
    <w:p w14:paraId="031C1055" w14:textId="3EE747AF" w:rsidR="00B2098F" w:rsidRDefault="00B2098F" w:rsidP="00B2098F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161FFE">
        <w:rPr>
          <w:rFonts w:ascii="Times New Roman" w:hAnsi="Times New Roman" w:cs="Times New Roman"/>
        </w:rPr>
        <w:t>519</w:t>
      </w:r>
      <w:r w:rsidR="00064051">
        <w:rPr>
          <w:rFonts w:ascii="Times New Roman" w:hAnsi="Times New Roman" w:cs="Times New Roman"/>
        </w:rPr>
        <w:t xml:space="preserve"> </w:t>
      </w:r>
      <w:r w:rsidR="00064051" w:rsidRPr="005A26E2">
        <w:rPr>
          <w:rFonts w:ascii="Times New Roman" w:hAnsi="Times New Roman" w:cs="Times New Roman"/>
        </w:rPr>
        <w:t>quejas</w:t>
      </w:r>
      <w:r w:rsidRPr="005A26E2">
        <w:rPr>
          <w:rFonts w:ascii="Times New Roman" w:hAnsi="Times New Roman" w:cs="Times New Roman"/>
        </w:rPr>
        <w:t xml:space="preserve">; </w:t>
      </w:r>
      <w:r w:rsidR="00BD6A27">
        <w:rPr>
          <w:rFonts w:ascii="Times New Roman" w:hAnsi="Times New Roman" w:cs="Times New Roman"/>
        </w:rPr>
        <w:t>1</w:t>
      </w:r>
      <w:r w:rsidR="00161FFE">
        <w:rPr>
          <w:rFonts w:ascii="Times New Roman" w:hAnsi="Times New Roman" w:cs="Times New Roman"/>
        </w:rPr>
        <w:t>4</w:t>
      </w:r>
      <w:r w:rsidR="00A9255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161FFE">
        <w:rPr>
          <w:rFonts w:ascii="Times New Roman" w:hAnsi="Times New Roman" w:cs="Times New Roman"/>
        </w:rPr>
        <w:t>376</w:t>
      </w:r>
      <w:r w:rsidRPr="005A26E2">
        <w:rPr>
          <w:rFonts w:ascii="Times New Roman" w:hAnsi="Times New Roman" w:cs="Times New Roman"/>
        </w:rPr>
        <w:t xml:space="preserve"> por conciliación.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5A26E2">
        <w:rPr>
          <w:rFonts w:ascii="Times New Roman" w:hAnsi="Times New Roman" w:cs="Times New Roman"/>
        </w:rPr>
        <w:t xml:space="preserve">consultas a </w:t>
      </w:r>
      <w:r w:rsidR="00161FFE">
        <w:rPr>
          <w:rFonts w:ascii="Times New Roman" w:hAnsi="Times New Roman" w:cs="Times New Roman"/>
        </w:rPr>
        <w:t>5,380</w:t>
      </w:r>
      <w:r w:rsidRPr="005A26E2">
        <w:rPr>
          <w:rFonts w:ascii="Times New Roman" w:hAnsi="Times New Roman" w:cs="Times New Roman"/>
        </w:rPr>
        <w:t xml:space="preserve"> </w:t>
      </w:r>
      <w:r w:rsidR="00BD6A27">
        <w:rPr>
          <w:rFonts w:ascii="Times New Roman" w:hAnsi="Times New Roman" w:cs="Times New Roman"/>
        </w:rPr>
        <w:t>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0C0548F2" w14:textId="77777777" w:rsidR="009A69BC" w:rsidRPr="005A26E2" w:rsidRDefault="009A69BC" w:rsidP="00B2098F">
      <w:pPr>
        <w:jc w:val="both"/>
        <w:rPr>
          <w:rFonts w:ascii="Times New Roman" w:hAnsi="Times New Roman" w:cs="Times New Roman"/>
        </w:rPr>
      </w:pPr>
    </w:p>
    <w:p w14:paraId="5288D7F7" w14:textId="15A63FCC" w:rsidR="00B2098F" w:rsidRPr="00684ADE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8</w:t>
      </w:r>
    </w:p>
    <w:p w14:paraId="66D2030F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1CC389C" w14:textId="2E29B669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161FFE">
        <w:rPr>
          <w:rFonts w:ascii="Times New Roman" w:hAnsi="Times New Roman" w:cs="Times New Roman"/>
          <w:b/>
        </w:rPr>
        <w:t>Mayo</w:t>
      </w:r>
      <w:r>
        <w:rPr>
          <w:rFonts w:ascii="Times New Roman" w:hAnsi="Times New Roman" w:cs="Times New Roman"/>
          <w:b/>
        </w:rPr>
        <w:t xml:space="preserve"> 2025</w:t>
      </w:r>
    </w:p>
    <w:p w14:paraId="266E2499" w14:textId="50C21A82" w:rsidR="00B2098F" w:rsidRDefault="00CA3897" w:rsidP="00B2098F">
      <w:pPr>
        <w:jc w:val="center"/>
        <w:rPr>
          <w:rFonts w:ascii="Times New Roman" w:hAnsi="Times New Roman" w:cs="Times New Roman"/>
          <w:b/>
        </w:rPr>
      </w:pPr>
      <w:r w:rsidRPr="00CA3897">
        <w:rPr>
          <w:noProof/>
        </w:rPr>
        <w:drawing>
          <wp:inline distT="0" distB="0" distL="0" distR="0" wp14:anchorId="12EAFC57" wp14:editId="763823B4">
            <wp:extent cx="4066324" cy="1999185"/>
            <wp:effectExtent l="0" t="0" r="0" b="127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453" cy="200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2A00" w14:textId="0EBDA7E0" w:rsidR="002121E9" w:rsidRPr="004F2262" w:rsidRDefault="001F0A8E" w:rsidP="00495E7D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4C1918">
        <w:rPr>
          <w:rFonts w:ascii="Arial" w:hAnsi="Arial" w:cs="Arial"/>
          <w:sz w:val="16"/>
          <w:szCs w:val="16"/>
        </w:rPr>
        <w:t xml:space="preserve">   </w:t>
      </w:r>
      <w:r w:rsidR="00495E7D">
        <w:rPr>
          <w:rFonts w:ascii="Arial" w:hAnsi="Arial" w:cs="Arial"/>
          <w:sz w:val="16"/>
          <w:szCs w:val="16"/>
        </w:rPr>
        <w:t xml:space="preserve">                   </w:t>
      </w:r>
      <w:r w:rsidR="004C1918">
        <w:rPr>
          <w:rFonts w:ascii="Arial" w:hAnsi="Arial" w:cs="Arial"/>
          <w:sz w:val="16"/>
          <w:szCs w:val="16"/>
        </w:rPr>
        <w:t xml:space="preserve"> </w:t>
      </w:r>
      <w:r w:rsidRPr="004F2262">
        <w:rPr>
          <w:rFonts w:ascii="Times New Roman" w:hAnsi="Times New Roman" w:cs="Times New Roman"/>
          <w:sz w:val="16"/>
          <w:szCs w:val="16"/>
        </w:rPr>
        <w:t>Fuente: Departamento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>)</w:t>
      </w:r>
    </w:p>
    <w:p w14:paraId="718F1FD8" w14:textId="77777777" w:rsidR="009A69BC" w:rsidRPr="009A69BC" w:rsidRDefault="009A69BC" w:rsidP="009A69BC"/>
    <w:p w14:paraId="392AF392" w14:textId="2118FEC0" w:rsidR="001E6CBB" w:rsidRPr="003A4877" w:rsidRDefault="001E6CBB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Recuperaciones a favor del Tarjetahabiente</w:t>
      </w:r>
    </w:p>
    <w:p w14:paraId="3FCEF9C9" w14:textId="77777777" w:rsidR="001E6CBB" w:rsidRPr="00684ADE" w:rsidRDefault="001E6CBB" w:rsidP="001E6CBB">
      <w:pPr>
        <w:jc w:val="both"/>
        <w:rPr>
          <w:rFonts w:ascii="Times New Roman" w:hAnsi="Times New Roman" w:cs="Times New Roman"/>
        </w:rPr>
      </w:pPr>
    </w:p>
    <w:p w14:paraId="155186CF" w14:textId="2183CE99" w:rsidR="001E6CBB" w:rsidRPr="00D47143" w:rsidRDefault="00BD6A27" w:rsidP="001E6C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Derivado </w:t>
      </w:r>
      <w:r w:rsidR="001E6CBB" w:rsidRPr="00684ADE">
        <w:rPr>
          <w:rFonts w:ascii="Times New Roman" w:hAnsi="Times New Roman" w:cs="Times New Roman"/>
        </w:rPr>
        <w:t>de la intervenci</w:t>
      </w:r>
      <w:r>
        <w:rPr>
          <w:rFonts w:ascii="Times New Roman" w:hAnsi="Times New Roman" w:cs="Times New Roman"/>
        </w:rPr>
        <w:t>ó</w:t>
      </w:r>
      <w:r w:rsidR="001E6CBB" w:rsidRPr="00684ADE">
        <w:rPr>
          <w:rFonts w:ascii="Times New Roman" w:hAnsi="Times New Roman" w:cs="Times New Roman"/>
        </w:rPr>
        <w:t xml:space="preserve">n de </w:t>
      </w:r>
      <w:r w:rsidR="001E6CBB">
        <w:rPr>
          <w:rFonts w:ascii="Times New Roman" w:hAnsi="Times New Roman" w:cs="Times New Roman"/>
        </w:rPr>
        <w:t>la Unidad de Protección de Servicios Financieros</w:t>
      </w:r>
      <w:r w:rsidR="001E6CBB" w:rsidRPr="00684ADE">
        <w:rPr>
          <w:rFonts w:ascii="Times New Roman" w:hAnsi="Times New Roman" w:cs="Times New Roman"/>
        </w:rPr>
        <w:t xml:space="preserve">, se recuperaron a favor de los </w:t>
      </w:r>
      <w:r w:rsidR="001E6CBB">
        <w:rPr>
          <w:rFonts w:ascii="Times New Roman" w:hAnsi="Times New Roman" w:cs="Times New Roman"/>
        </w:rPr>
        <w:t>tarjetahabientes</w:t>
      </w:r>
      <w:r w:rsidR="001E6CBB" w:rsidRPr="00684ADE">
        <w:rPr>
          <w:rFonts w:ascii="Times New Roman" w:hAnsi="Times New Roman" w:cs="Times New Roman"/>
        </w:rPr>
        <w:t xml:space="preserve">, la cantidad de </w:t>
      </w:r>
      <w:r w:rsidR="00421EBE">
        <w:rPr>
          <w:rFonts w:ascii="Times New Roman" w:hAnsi="Times New Roman" w:cs="Times New Roman"/>
        </w:rPr>
        <w:t>dos</w:t>
      </w:r>
      <w:r w:rsidR="00A92555">
        <w:rPr>
          <w:rFonts w:ascii="Times New Roman" w:hAnsi="Times New Roman" w:cs="Times New Roman"/>
        </w:rPr>
        <w:t xml:space="preserve"> mill</w:t>
      </w:r>
      <w:r w:rsidR="00421EBE">
        <w:rPr>
          <w:rFonts w:ascii="Times New Roman" w:hAnsi="Times New Roman" w:cs="Times New Roman"/>
        </w:rPr>
        <w:t>ones</w:t>
      </w:r>
      <w:r w:rsidR="00A92555">
        <w:rPr>
          <w:rFonts w:ascii="Times New Roman" w:hAnsi="Times New Roman" w:cs="Times New Roman"/>
        </w:rPr>
        <w:t xml:space="preserve"> c</w:t>
      </w:r>
      <w:r w:rsidR="00421EBE">
        <w:rPr>
          <w:rFonts w:ascii="Times New Roman" w:hAnsi="Times New Roman" w:cs="Times New Roman"/>
        </w:rPr>
        <w:t>iento ochenta y cinco</w:t>
      </w:r>
      <w:r w:rsidR="00A92555">
        <w:rPr>
          <w:rFonts w:ascii="Times New Roman" w:hAnsi="Times New Roman" w:cs="Times New Roman"/>
        </w:rPr>
        <w:t xml:space="preserve"> </w:t>
      </w:r>
      <w:r w:rsidR="00064051">
        <w:rPr>
          <w:rFonts w:ascii="Times New Roman" w:hAnsi="Times New Roman" w:cs="Times New Roman"/>
        </w:rPr>
        <w:t>mil</w:t>
      </w:r>
      <w:r w:rsidR="00A92555">
        <w:rPr>
          <w:rFonts w:ascii="Times New Roman" w:hAnsi="Times New Roman" w:cs="Times New Roman"/>
        </w:rPr>
        <w:t xml:space="preserve"> </w:t>
      </w:r>
      <w:r w:rsidR="00421EBE">
        <w:rPr>
          <w:rFonts w:ascii="Times New Roman" w:hAnsi="Times New Roman" w:cs="Times New Roman"/>
        </w:rPr>
        <w:t>cuarenta y dos</w:t>
      </w:r>
      <w:r w:rsidR="00A92555">
        <w:rPr>
          <w:rFonts w:ascii="Times New Roman" w:hAnsi="Times New Roman" w:cs="Times New Roman"/>
        </w:rPr>
        <w:t xml:space="preserve"> quetzales con </w:t>
      </w:r>
      <w:r w:rsidR="009E0CF2">
        <w:rPr>
          <w:rFonts w:ascii="Times New Roman" w:hAnsi="Times New Roman" w:cs="Times New Roman"/>
        </w:rPr>
        <w:t>treinta y ocho</w:t>
      </w:r>
      <w:r w:rsidR="00A92555">
        <w:rPr>
          <w:rFonts w:ascii="Times New Roman" w:hAnsi="Times New Roman" w:cs="Times New Roman"/>
        </w:rPr>
        <w:t xml:space="preserve"> </w:t>
      </w:r>
      <w:r w:rsidR="001E6CBB" w:rsidRPr="00684ADE">
        <w:rPr>
          <w:rFonts w:ascii="Times New Roman" w:hAnsi="Times New Roman" w:cs="Times New Roman"/>
        </w:rPr>
        <w:t>centavos (Q.</w:t>
      </w:r>
      <w:r w:rsidR="00421EBE">
        <w:rPr>
          <w:rFonts w:ascii="Times New Roman" w:hAnsi="Times New Roman" w:cs="Times New Roman"/>
        </w:rPr>
        <w:t>2,185,042.38</w:t>
      </w:r>
      <w:r w:rsidR="001E6CBB" w:rsidRPr="00684ADE">
        <w:rPr>
          <w:rFonts w:ascii="Times New Roman" w:hAnsi="Times New Roman" w:cs="Times New Roman"/>
        </w:rPr>
        <w:t>)</w:t>
      </w:r>
      <w:r w:rsidR="001E6CBB">
        <w:rPr>
          <w:rFonts w:ascii="Times New Roman" w:hAnsi="Times New Roman" w:cs="Times New Roman"/>
        </w:rPr>
        <w:t xml:space="preserve">, </w:t>
      </w:r>
      <w:r w:rsidR="001E6CBB" w:rsidRPr="00D47143">
        <w:rPr>
          <w:rFonts w:ascii="Times New Roman" w:hAnsi="Times New Roman" w:cs="Times New Roman"/>
        </w:rPr>
        <w:t>según se detalla en el cuadro siguiente:</w:t>
      </w:r>
    </w:p>
    <w:p w14:paraId="3089FFE6" w14:textId="41CC22B0" w:rsidR="001E6CBB" w:rsidRDefault="001E6CBB" w:rsidP="007C1B5A">
      <w:pPr>
        <w:jc w:val="center"/>
        <w:rPr>
          <w:rFonts w:ascii="Times New Roman" w:hAnsi="Times New Roman" w:cs="Times New Roman"/>
          <w:b/>
        </w:rPr>
      </w:pPr>
    </w:p>
    <w:p w14:paraId="04B1C4D4" w14:textId="22DED745" w:rsidR="007C1B5A" w:rsidRPr="004F5B25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9</w:t>
      </w:r>
    </w:p>
    <w:p w14:paraId="32D89FE8" w14:textId="073F4BFB" w:rsidR="007C1B5A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>Recuperaciones a favor de los Tarjetahabientes</w:t>
      </w:r>
    </w:p>
    <w:p w14:paraId="619651C0" w14:textId="603DD841" w:rsidR="00D119E4" w:rsidRDefault="001841DE" w:rsidP="007C1B5A">
      <w:pPr>
        <w:jc w:val="center"/>
      </w:pPr>
      <w:r w:rsidRPr="001841DE">
        <w:rPr>
          <w:noProof/>
        </w:rPr>
        <w:drawing>
          <wp:inline distT="0" distB="0" distL="0" distR="0" wp14:anchorId="114FC2F0" wp14:editId="3029F287">
            <wp:extent cx="4441075" cy="2291715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17" cy="229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B36E" w14:textId="4BB4F180" w:rsidR="00B75D5A" w:rsidRDefault="00B75D5A" w:rsidP="007C1B5A">
      <w:pPr>
        <w:jc w:val="center"/>
      </w:pPr>
    </w:p>
    <w:p w14:paraId="77A18E38" w14:textId="77777777" w:rsidR="00B75D5A" w:rsidRDefault="00B75D5A" w:rsidP="007C1B5A">
      <w:pPr>
        <w:jc w:val="center"/>
      </w:pPr>
    </w:p>
    <w:p w14:paraId="22527EF4" w14:textId="1268DD57" w:rsidR="00D119E4" w:rsidRDefault="00D119E4" w:rsidP="007C1B5A">
      <w:pPr>
        <w:jc w:val="center"/>
        <w:rPr>
          <w:rFonts w:ascii="Times New Roman" w:hAnsi="Times New Roman" w:cs="Times New Roman"/>
          <w:b/>
        </w:rPr>
      </w:pPr>
    </w:p>
    <w:p w14:paraId="58FF84FA" w14:textId="581E9CE8" w:rsidR="00B2098F" w:rsidRDefault="00B2098F" w:rsidP="007C1B5A">
      <w:pPr>
        <w:jc w:val="center"/>
        <w:rPr>
          <w:noProof/>
        </w:rPr>
      </w:pPr>
    </w:p>
    <w:p w14:paraId="297661CD" w14:textId="2DBB0734" w:rsidR="00D119E4" w:rsidRDefault="00D119E4" w:rsidP="007C1B5A">
      <w:pPr>
        <w:jc w:val="center"/>
        <w:rPr>
          <w:noProof/>
        </w:rPr>
      </w:pPr>
    </w:p>
    <w:p w14:paraId="7B101547" w14:textId="71B18A8B" w:rsidR="001841DE" w:rsidRDefault="001841DE" w:rsidP="007C1B5A">
      <w:pPr>
        <w:jc w:val="center"/>
        <w:rPr>
          <w:noProof/>
        </w:rPr>
      </w:pPr>
    </w:p>
    <w:p w14:paraId="431CF400" w14:textId="3BB53D9D" w:rsidR="001841DE" w:rsidRDefault="00600287" w:rsidP="007C1B5A">
      <w:pPr>
        <w:jc w:val="center"/>
        <w:rPr>
          <w:rFonts w:ascii="Times New Roman" w:hAnsi="Times New Roman" w:cs="Times New Roman"/>
          <w:b/>
        </w:rPr>
      </w:pPr>
      <w:r w:rsidRPr="00600287">
        <w:rPr>
          <w:noProof/>
        </w:rPr>
        <w:drawing>
          <wp:inline distT="0" distB="0" distL="0" distR="0" wp14:anchorId="603AE81C" wp14:editId="55862B20">
            <wp:extent cx="4725411" cy="484505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97" cy="485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AE43" w14:textId="3425441E" w:rsidR="001F0A8E" w:rsidRDefault="003E5F47" w:rsidP="003E5F47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                </w:t>
      </w:r>
    </w:p>
    <w:sectPr w:rsidR="001F0A8E" w:rsidSect="009B299C">
      <w:headerReference w:type="default" r:id="rId45"/>
      <w:footerReference w:type="default" r:id="rId46"/>
      <w:pgSz w:w="12240" w:h="15840" w:code="1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7393" w14:textId="77777777" w:rsidR="00740ACC" w:rsidRDefault="00740ACC" w:rsidP="00184C47">
      <w:r>
        <w:separator/>
      </w:r>
    </w:p>
  </w:endnote>
  <w:endnote w:type="continuationSeparator" w:id="0">
    <w:p w14:paraId="3712BE86" w14:textId="77777777" w:rsidR="00740ACC" w:rsidRDefault="00740ACC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1F3864" w:themeColor="accent1" w:themeShade="80"/>
        <w:sz w:val="18"/>
        <w:szCs w:val="18"/>
        <w:lang w:val="es-GT"/>
      </w:rPr>
      <w:id w:val="-1998652897"/>
      <w:docPartObj>
        <w:docPartGallery w:val="Page Numbers (Bottom of Page)"/>
        <w:docPartUnique/>
      </w:docPartObj>
    </w:sdtPr>
    <w:sdtEndPr/>
    <w:sdtContent>
      <w:p w14:paraId="09104588" w14:textId="4005DE4D" w:rsidR="00D41D3D" w:rsidRDefault="000D7FED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7922F59" wp14:editId="4856ABB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94" name="Triángulo isósceles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A7CB0F" w14:textId="75543DE0" w:rsidR="00D41D3D" w:rsidRPr="00871DCE" w:rsidRDefault="00D41D3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871DC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922F5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94" o:spid="_x0000_s1028" type="#_x0000_t5" style="position:absolute;left:0;text-align:left;margin-left:0;margin-top:0;width:167.4pt;height:161.8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" adj="21600" fillcolor="#d2eaf1" stroked="f">
                  <v:textbox>
                    <w:txbxContent>
                      <w:p w14:paraId="55A7CB0F" w14:textId="75543DE0" w:rsidR="00D41D3D" w:rsidRPr="00871DCE" w:rsidRDefault="00D41D3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871DCE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Departamento de Desarrollo Institucional</w:t>
        </w:r>
      </w:p>
      <w:p w14:paraId="36E6CC44" w14:textId="664F55BD" w:rsidR="00FC1908" w:rsidRPr="009B299C" w:rsidRDefault="009E0CF2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3</w:t>
        </w:r>
        <w:r w:rsidR="00A42139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de </w:t>
        </w: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junio</w: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35B1" w14:textId="77777777" w:rsidR="00740ACC" w:rsidRDefault="00740ACC" w:rsidP="00184C47">
      <w:r>
        <w:separator/>
      </w:r>
    </w:p>
  </w:footnote>
  <w:footnote w:type="continuationSeparator" w:id="0">
    <w:p w14:paraId="2A197DE5" w14:textId="77777777" w:rsidR="00740ACC" w:rsidRDefault="00740ACC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1285D"/>
    <w:rsid w:val="000134BB"/>
    <w:rsid w:val="00013B3D"/>
    <w:rsid w:val="000177AD"/>
    <w:rsid w:val="00017D2E"/>
    <w:rsid w:val="00020361"/>
    <w:rsid w:val="00024F5C"/>
    <w:rsid w:val="000251B0"/>
    <w:rsid w:val="000333AD"/>
    <w:rsid w:val="00035699"/>
    <w:rsid w:val="000477E7"/>
    <w:rsid w:val="00050305"/>
    <w:rsid w:val="00051523"/>
    <w:rsid w:val="00053CEF"/>
    <w:rsid w:val="00062196"/>
    <w:rsid w:val="00064051"/>
    <w:rsid w:val="000656EC"/>
    <w:rsid w:val="0007361B"/>
    <w:rsid w:val="00075062"/>
    <w:rsid w:val="00077580"/>
    <w:rsid w:val="00081EB4"/>
    <w:rsid w:val="00086000"/>
    <w:rsid w:val="000864CB"/>
    <w:rsid w:val="0008758F"/>
    <w:rsid w:val="0008763A"/>
    <w:rsid w:val="00092C63"/>
    <w:rsid w:val="00096810"/>
    <w:rsid w:val="000A1E83"/>
    <w:rsid w:val="000A2601"/>
    <w:rsid w:val="000A42A4"/>
    <w:rsid w:val="000C6AD6"/>
    <w:rsid w:val="000C7481"/>
    <w:rsid w:val="000D00DE"/>
    <w:rsid w:val="000D21AF"/>
    <w:rsid w:val="000D7386"/>
    <w:rsid w:val="000D7FED"/>
    <w:rsid w:val="000E1408"/>
    <w:rsid w:val="000E378D"/>
    <w:rsid w:val="000F1AAF"/>
    <w:rsid w:val="000F2AEE"/>
    <w:rsid w:val="000F43DD"/>
    <w:rsid w:val="000F4EE8"/>
    <w:rsid w:val="00100AEC"/>
    <w:rsid w:val="0010126C"/>
    <w:rsid w:val="001021AF"/>
    <w:rsid w:val="00102A94"/>
    <w:rsid w:val="00105E45"/>
    <w:rsid w:val="00114C98"/>
    <w:rsid w:val="001202BB"/>
    <w:rsid w:val="00120FFC"/>
    <w:rsid w:val="00121684"/>
    <w:rsid w:val="0012441E"/>
    <w:rsid w:val="001250BE"/>
    <w:rsid w:val="001267C1"/>
    <w:rsid w:val="0014029C"/>
    <w:rsid w:val="00141116"/>
    <w:rsid w:val="00141D53"/>
    <w:rsid w:val="0014202D"/>
    <w:rsid w:val="00146876"/>
    <w:rsid w:val="001508B1"/>
    <w:rsid w:val="00152C17"/>
    <w:rsid w:val="00154D88"/>
    <w:rsid w:val="00155FDB"/>
    <w:rsid w:val="00160B39"/>
    <w:rsid w:val="00161FFE"/>
    <w:rsid w:val="0016658B"/>
    <w:rsid w:val="001702CA"/>
    <w:rsid w:val="00170736"/>
    <w:rsid w:val="00171EBE"/>
    <w:rsid w:val="001724CC"/>
    <w:rsid w:val="00176F3A"/>
    <w:rsid w:val="00183F96"/>
    <w:rsid w:val="001841DE"/>
    <w:rsid w:val="00184C47"/>
    <w:rsid w:val="001862FD"/>
    <w:rsid w:val="0018636B"/>
    <w:rsid w:val="00186716"/>
    <w:rsid w:val="00186D59"/>
    <w:rsid w:val="00191514"/>
    <w:rsid w:val="001976C6"/>
    <w:rsid w:val="001A0D50"/>
    <w:rsid w:val="001A7258"/>
    <w:rsid w:val="001B39C4"/>
    <w:rsid w:val="001B4021"/>
    <w:rsid w:val="001C03FD"/>
    <w:rsid w:val="001C0DE8"/>
    <w:rsid w:val="001C304A"/>
    <w:rsid w:val="001C497C"/>
    <w:rsid w:val="001C5FC2"/>
    <w:rsid w:val="001D405A"/>
    <w:rsid w:val="001D517F"/>
    <w:rsid w:val="001D5B94"/>
    <w:rsid w:val="001D7E1B"/>
    <w:rsid w:val="001E6CBB"/>
    <w:rsid w:val="001F0A8E"/>
    <w:rsid w:val="001F3F09"/>
    <w:rsid w:val="0020438B"/>
    <w:rsid w:val="00204FAB"/>
    <w:rsid w:val="00205A5E"/>
    <w:rsid w:val="00205F14"/>
    <w:rsid w:val="002121E9"/>
    <w:rsid w:val="002153EB"/>
    <w:rsid w:val="00220E25"/>
    <w:rsid w:val="002214D2"/>
    <w:rsid w:val="002241CF"/>
    <w:rsid w:val="00225048"/>
    <w:rsid w:val="00225AED"/>
    <w:rsid w:val="00226007"/>
    <w:rsid w:val="002269BE"/>
    <w:rsid w:val="00227B58"/>
    <w:rsid w:val="00230C10"/>
    <w:rsid w:val="002335D6"/>
    <w:rsid w:val="00234717"/>
    <w:rsid w:val="00234F5A"/>
    <w:rsid w:val="0023675C"/>
    <w:rsid w:val="0023706A"/>
    <w:rsid w:val="0024494C"/>
    <w:rsid w:val="00245E5A"/>
    <w:rsid w:val="00250282"/>
    <w:rsid w:val="0025245A"/>
    <w:rsid w:val="00265C3B"/>
    <w:rsid w:val="002678C2"/>
    <w:rsid w:val="00272007"/>
    <w:rsid w:val="00272F85"/>
    <w:rsid w:val="0027305A"/>
    <w:rsid w:val="0028007B"/>
    <w:rsid w:val="00281F57"/>
    <w:rsid w:val="00284AD7"/>
    <w:rsid w:val="00286530"/>
    <w:rsid w:val="002865CB"/>
    <w:rsid w:val="00286B2D"/>
    <w:rsid w:val="002937CB"/>
    <w:rsid w:val="0029720A"/>
    <w:rsid w:val="00297D32"/>
    <w:rsid w:val="002A0E67"/>
    <w:rsid w:val="002A2B1C"/>
    <w:rsid w:val="002A6DEA"/>
    <w:rsid w:val="002A7865"/>
    <w:rsid w:val="002B1DE0"/>
    <w:rsid w:val="002B1F6F"/>
    <w:rsid w:val="002B43DF"/>
    <w:rsid w:val="002C1544"/>
    <w:rsid w:val="002C4F13"/>
    <w:rsid w:val="002E012D"/>
    <w:rsid w:val="002E3176"/>
    <w:rsid w:val="002E328E"/>
    <w:rsid w:val="002E6C3B"/>
    <w:rsid w:val="002F21F7"/>
    <w:rsid w:val="002F37EA"/>
    <w:rsid w:val="002F5FC3"/>
    <w:rsid w:val="002F6E9C"/>
    <w:rsid w:val="00310DE9"/>
    <w:rsid w:val="00312EAF"/>
    <w:rsid w:val="00313FB4"/>
    <w:rsid w:val="00317232"/>
    <w:rsid w:val="00324FAB"/>
    <w:rsid w:val="003314DE"/>
    <w:rsid w:val="003360D3"/>
    <w:rsid w:val="003371FF"/>
    <w:rsid w:val="00344523"/>
    <w:rsid w:val="003463AA"/>
    <w:rsid w:val="003471B1"/>
    <w:rsid w:val="003516A3"/>
    <w:rsid w:val="00352D39"/>
    <w:rsid w:val="003535DF"/>
    <w:rsid w:val="003549B9"/>
    <w:rsid w:val="003557D2"/>
    <w:rsid w:val="003572EB"/>
    <w:rsid w:val="00357627"/>
    <w:rsid w:val="0036026A"/>
    <w:rsid w:val="0036284A"/>
    <w:rsid w:val="00367486"/>
    <w:rsid w:val="00370445"/>
    <w:rsid w:val="0037519C"/>
    <w:rsid w:val="00383E85"/>
    <w:rsid w:val="003847BD"/>
    <w:rsid w:val="00390E16"/>
    <w:rsid w:val="00393132"/>
    <w:rsid w:val="003953D3"/>
    <w:rsid w:val="00395459"/>
    <w:rsid w:val="003A4877"/>
    <w:rsid w:val="003A4F0D"/>
    <w:rsid w:val="003A72A3"/>
    <w:rsid w:val="003B463A"/>
    <w:rsid w:val="003B575F"/>
    <w:rsid w:val="003C0CC4"/>
    <w:rsid w:val="003C1961"/>
    <w:rsid w:val="003C2B3F"/>
    <w:rsid w:val="003D078E"/>
    <w:rsid w:val="003D110F"/>
    <w:rsid w:val="003D4875"/>
    <w:rsid w:val="003D73BC"/>
    <w:rsid w:val="003E0C26"/>
    <w:rsid w:val="003E12DE"/>
    <w:rsid w:val="003E26D4"/>
    <w:rsid w:val="003E5F47"/>
    <w:rsid w:val="003E6369"/>
    <w:rsid w:val="003E678C"/>
    <w:rsid w:val="003E6ACD"/>
    <w:rsid w:val="003E7D6E"/>
    <w:rsid w:val="003F1218"/>
    <w:rsid w:val="003F5EEF"/>
    <w:rsid w:val="003F6B70"/>
    <w:rsid w:val="003F731A"/>
    <w:rsid w:val="0040356A"/>
    <w:rsid w:val="004101B3"/>
    <w:rsid w:val="0041090F"/>
    <w:rsid w:val="00416E34"/>
    <w:rsid w:val="004211A2"/>
    <w:rsid w:val="00421DF2"/>
    <w:rsid w:val="00421EBE"/>
    <w:rsid w:val="004249A0"/>
    <w:rsid w:val="0043578B"/>
    <w:rsid w:val="00435DAE"/>
    <w:rsid w:val="004413AA"/>
    <w:rsid w:val="00442074"/>
    <w:rsid w:val="00443B2C"/>
    <w:rsid w:val="00446C98"/>
    <w:rsid w:val="0045220D"/>
    <w:rsid w:val="004563DB"/>
    <w:rsid w:val="00456442"/>
    <w:rsid w:val="00460ABF"/>
    <w:rsid w:val="00460EC6"/>
    <w:rsid w:val="00461425"/>
    <w:rsid w:val="0046668E"/>
    <w:rsid w:val="004707A1"/>
    <w:rsid w:val="00470F25"/>
    <w:rsid w:val="00472047"/>
    <w:rsid w:val="0047478D"/>
    <w:rsid w:val="004821F8"/>
    <w:rsid w:val="004846FE"/>
    <w:rsid w:val="0048741E"/>
    <w:rsid w:val="0049342F"/>
    <w:rsid w:val="00495E7D"/>
    <w:rsid w:val="004A3790"/>
    <w:rsid w:val="004A7537"/>
    <w:rsid w:val="004B1EA2"/>
    <w:rsid w:val="004B5AFE"/>
    <w:rsid w:val="004B5F81"/>
    <w:rsid w:val="004B6CE8"/>
    <w:rsid w:val="004B71C1"/>
    <w:rsid w:val="004B7265"/>
    <w:rsid w:val="004C1918"/>
    <w:rsid w:val="004C4D76"/>
    <w:rsid w:val="004C5A6F"/>
    <w:rsid w:val="004C7D7E"/>
    <w:rsid w:val="004D145B"/>
    <w:rsid w:val="004D74AB"/>
    <w:rsid w:val="004E231F"/>
    <w:rsid w:val="004E243D"/>
    <w:rsid w:val="004E4904"/>
    <w:rsid w:val="004E4E16"/>
    <w:rsid w:val="004E5D2F"/>
    <w:rsid w:val="004E7C79"/>
    <w:rsid w:val="004F2262"/>
    <w:rsid w:val="004F2735"/>
    <w:rsid w:val="004F4F85"/>
    <w:rsid w:val="004F5B25"/>
    <w:rsid w:val="005020B7"/>
    <w:rsid w:val="005030A4"/>
    <w:rsid w:val="00507D95"/>
    <w:rsid w:val="00516424"/>
    <w:rsid w:val="005232ED"/>
    <w:rsid w:val="00524D92"/>
    <w:rsid w:val="0052508E"/>
    <w:rsid w:val="005267E9"/>
    <w:rsid w:val="0053062F"/>
    <w:rsid w:val="005312BC"/>
    <w:rsid w:val="00534F63"/>
    <w:rsid w:val="00536033"/>
    <w:rsid w:val="0053678D"/>
    <w:rsid w:val="00536C3F"/>
    <w:rsid w:val="0053757F"/>
    <w:rsid w:val="00537A2C"/>
    <w:rsid w:val="00541981"/>
    <w:rsid w:val="00545634"/>
    <w:rsid w:val="005475E2"/>
    <w:rsid w:val="00550B0C"/>
    <w:rsid w:val="00550CF1"/>
    <w:rsid w:val="00552072"/>
    <w:rsid w:val="00560B5A"/>
    <w:rsid w:val="00561510"/>
    <w:rsid w:val="00561829"/>
    <w:rsid w:val="005630CC"/>
    <w:rsid w:val="0056324D"/>
    <w:rsid w:val="005759AE"/>
    <w:rsid w:val="00575C20"/>
    <w:rsid w:val="00577EB0"/>
    <w:rsid w:val="00583F37"/>
    <w:rsid w:val="00586914"/>
    <w:rsid w:val="00587D5E"/>
    <w:rsid w:val="00590BFA"/>
    <w:rsid w:val="005A21D2"/>
    <w:rsid w:val="005A26E2"/>
    <w:rsid w:val="005A37ED"/>
    <w:rsid w:val="005A681A"/>
    <w:rsid w:val="005A6D8E"/>
    <w:rsid w:val="005B4D02"/>
    <w:rsid w:val="005B560D"/>
    <w:rsid w:val="005C3C7E"/>
    <w:rsid w:val="005C3FE7"/>
    <w:rsid w:val="005D07A2"/>
    <w:rsid w:val="005D09EA"/>
    <w:rsid w:val="005D7780"/>
    <w:rsid w:val="005E02DE"/>
    <w:rsid w:val="005E077E"/>
    <w:rsid w:val="005E121E"/>
    <w:rsid w:val="005E2BF9"/>
    <w:rsid w:val="005E407F"/>
    <w:rsid w:val="005E5D35"/>
    <w:rsid w:val="005E5E62"/>
    <w:rsid w:val="005E69C1"/>
    <w:rsid w:val="005F0533"/>
    <w:rsid w:val="005F0EA2"/>
    <w:rsid w:val="005F18A9"/>
    <w:rsid w:val="005F1983"/>
    <w:rsid w:val="005F29FA"/>
    <w:rsid w:val="005F34F9"/>
    <w:rsid w:val="005F3844"/>
    <w:rsid w:val="005F43C2"/>
    <w:rsid w:val="005F44C1"/>
    <w:rsid w:val="00600287"/>
    <w:rsid w:val="00602184"/>
    <w:rsid w:val="00607343"/>
    <w:rsid w:val="006129B7"/>
    <w:rsid w:val="0061481D"/>
    <w:rsid w:val="00616D60"/>
    <w:rsid w:val="00621F37"/>
    <w:rsid w:val="00622346"/>
    <w:rsid w:val="006223FB"/>
    <w:rsid w:val="00626400"/>
    <w:rsid w:val="00635344"/>
    <w:rsid w:val="00640239"/>
    <w:rsid w:val="006449DB"/>
    <w:rsid w:val="00647DB7"/>
    <w:rsid w:val="00652221"/>
    <w:rsid w:val="0065465D"/>
    <w:rsid w:val="006560C3"/>
    <w:rsid w:val="00657202"/>
    <w:rsid w:val="00657F64"/>
    <w:rsid w:val="00662C87"/>
    <w:rsid w:val="00662E53"/>
    <w:rsid w:val="00665B30"/>
    <w:rsid w:val="0066608D"/>
    <w:rsid w:val="00666A74"/>
    <w:rsid w:val="00671D4A"/>
    <w:rsid w:val="0067414D"/>
    <w:rsid w:val="006758A9"/>
    <w:rsid w:val="00676073"/>
    <w:rsid w:val="006761E3"/>
    <w:rsid w:val="00680EB0"/>
    <w:rsid w:val="006814B0"/>
    <w:rsid w:val="00684ADE"/>
    <w:rsid w:val="0068579E"/>
    <w:rsid w:val="00686A29"/>
    <w:rsid w:val="0069201B"/>
    <w:rsid w:val="00694E1D"/>
    <w:rsid w:val="006958DE"/>
    <w:rsid w:val="006A1394"/>
    <w:rsid w:val="006A3F0D"/>
    <w:rsid w:val="006B0080"/>
    <w:rsid w:val="006B0BE2"/>
    <w:rsid w:val="006C1B12"/>
    <w:rsid w:val="006C37CC"/>
    <w:rsid w:val="006C3D1E"/>
    <w:rsid w:val="006C6ACF"/>
    <w:rsid w:val="006C7D57"/>
    <w:rsid w:val="006D19DA"/>
    <w:rsid w:val="006D229C"/>
    <w:rsid w:val="006D261B"/>
    <w:rsid w:val="006D2777"/>
    <w:rsid w:val="006E2243"/>
    <w:rsid w:val="006E5AF0"/>
    <w:rsid w:val="006E6814"/>
    <w:rsid w:val="006F3339"/>
    <w:rsid w:val="006F50BA"/>
    <w:rsid w:val="006F62E9"/>
    <w:rsid w:val="006F69C8"/>
    <w:rsid w:val="00705233"/>
    <w:rsid w:val="0070563F"/>
    <w:rsid w:val="007111F0"/>
    <w:rsid w:val="00711AE2"/>
    <w:rsid w:val="0071499C"/>
    <w:rsid w:val="0071583B"/>
    <w:rsid w:val="0071787F"/>
    <w:rsid w:val="007214D6"/>
    <w:rsid w:val="00722FB2"/>
    <w:rsid w:val="00726FCB"/>
    <w:rsid w:val="00727AD9"/>
    <w:rsid w:val="0073381F"/>
    <w:rsid w:val="00734721"/>
    <w:rsid w:val="007402A6"/>
    <w:rsid w:val="00740ACC"/>
    <w:rsid w:val="0074114C"/>
    <w:rsid w:val="00742CAB"/>
    <w:rsid w:val="00743442"/>
    <w:rsid w:val="00743561"/>
    <w:rsid w:val="00746068"/>
    <w:rsid w:val="00746D75"/>
    <w:rsid w:val="007519B8"/>
    <w:rsid w:val="0075233E"/>
    <w:rsid w:val="0075305F"/>
    <w:rsid w:val="007537CF"/>
    <w:rsid w:val="00757765"/>
    <w:rsid w:val="00761F69"/>
    <w:rsid w:val="007636DF"/>
    <w:rsid w:val="007637CA"/>
    <w:rsid w:val="007637CB"/>
    <w:rsid w:val="00766E67"/>
    <w:rsid w:val="00767EA7"/>
    <w:rsid w:val="00777319"/>
    <w:rsid w:val="00780F88"/>
    <w:rsid w:val="00783719"/>
    <w:rsid w:val="00783CB1"/>
    <w:rsid w:val="00785DFF"/>
    <w:rsid w:val="00793439"/>
    <w:rsid w:val="007955A2"/>
    <w:rsid w:val="007957EE"/>
    <w:rsid w:val="007A1161"/>
    <w:rsid w:val="007A7E4C"/>
    <w:rsid w:val="007C1B5A"/>
    <w:rsid w:val="007C3D1B"/>
    <w:rsid w:val="007C6F4D"/>
    <w:rsid w:val="007C72B6"/>
    <w:rsid w:val="007D17F3"/>
    <w:rsid w:val="007D2626"/>
    <w:rsid w:val="007D3414"/>
    <w:rsid w:val="007D4431"/>
    <w:rsid w:val="007D5352"/>
    <w:rsid w:val="007D6D0E"/>
    <w:rsid w:val="007E21BB"/>
    <w:rsid w:val="007E64EE"/>
    <w:rsid w:val="007F6A94"/>
    <w:rsid w:val="007F7905"/>
    <w:rsid w:val="0080354A"/>
    <w:rsid w:val="008064A8"/>
    <w:rsid w:val="00806C9E"/>
    <w:rsid w:val="0081170D"/>
    <w:rsid w:val="00812842"/>
    <w:rsid w:val="00822E9F"/>
    <w:rsid w:val="00834B43"/>
    <w:rsid w:val="00835208"/>
    <w:rsid w:val="00836E3A"/>
    <w:rsid w:val="00836EB4"/>
    <w:rsid w:val="00845585"/>
    <w:rsid w:val="00851C06"/>
    <w:rsid w:val="0086184F"/>
    <w:rsid w:val="00861FC3"/>
    <w:rsid w:val="00864F7A"/>
    <w:rsid w:val="00865348"/>
    <w:rsid w:val="00865F70"/>
    <w:rsid w:val="0087020E"/>
    <w:rsid w:val="00871892"/>
    <w:rsid w:val="00871DCE"/>
    <w:rsid w:val="0087227A"/>
    <w:rsid w:val="008754E3"/>
    <w:rsid w:val="00880361"/>
    <w:rsid w:val="00880E0F"/>
    <w:rsid w:val="008821A3"/>
    <w:rsid w:val="0088300F"/>
    <w:rsid w:val="008835AA"/>
    <w:rsid w:val="00883B42"/>
    <w:rsid w:val="008902A6"/>
    <w:rsid w:val="00890BAC"/>
    <w:rsid w:val="0089328D"/>
    <w:rsid w:val="00895206"/>
    <w:rsid w:val="008A384E"/>
    <w:rsid w:val="008A4648"/>
    <w:rsid w:val="008A5372"/>
    <w:rsid w:val="008A63B8"/>
    <w:rsid w:val="008A6F29"/>
    <w:rsid w:val="008B00D8"/>
    <w:rsid w:val="008B0C04"/>
    <w:rsid w:val="008B3433"/>
    <w:rsid w:val="008B6638"/>
    <w:rsid w:val="008C4227"/>
    <w:rsid w:val="008C7827"/>
    <w:rsid w:val="008D010D"/>
    <w:rsid w:val="008D0BD9"/>
    <w:rsid w:val="008D4A8C"/>
    <w:rsid w:val="008E00E1"/>
    <w:rsid w:val="008E1FFF"/>
    <w:rsid w:val="008E52DF"/>
    <w:rsid w:val="008E71F3"/>
    <w:rsid w:val="008F10C7"/>
    <w:rsid w:val="008F1EC7"/>
    <w:rsid w:val="008F2FC4"/>
    <w:rsid w:val="008F598A"/>
    <w:rsid w:val="009068FF"/>
    <w:rsid w:val="00910D9A"/>
    <w:rsid w:val="00910E7A"/>
    <w:rsid w:val="00920110"/>
    <w:rsid w:val="009216B9"/>
    <w:rsid w:val="00935FB7"/>
    <w:rsid w:val="00937CB8"/>
    <w:rsid w:val="00942A7C"/>
    <w:rsid w:val="00947D9C"/>
    <w:rsid w:val="00956C32"/>
    <w:rsid w:val="00960B14"/>
    <w:rsid w:val="00962C81"/>
    <w:rsid w:val="009742DF"/>
    <w:rsid w:val="00976546"/>
    <w:rsid w:val="00980AA0"/>
    <w:rsid w:val="009822AD"/>
    <w:rsid w:val="00991AF7"/>
    <w:rsid w:val="009936CB"/>
    <w:rsid w:val="009949C9"/>
    <w:rsid w:val="009954C2"/>
    <w:rsid w:val="009A480D"/>
    <w:rsid w:val="009A62C7"/>
    <w:rsid w:val="009A69BC"/>
    <w:rsid w:val="009B28FB"/>
    <w:rsid w:val="009B299C"/>
    <w:rsid w:val="009B2CFA"/>
    <w:rsid w:val="009C0B01"/>
    <w:rsid w:val="009C4311"/>
    <w:rsid w:val="009C7E68"/>
    <w:rsid w:val="009D0404"/>
    <w:rsid w:val="009D16AB"/>
    <w:rsid w:val="009D33F9"/>
    <w:rsid w:val="009D48E5"/>
    <w:rsid w:val="009D5A21"/>
    <w:rsid w:val="009D69CB"/>
    <w:rsid w:val="009E0CF2"/>
    <w:rsid w:val="009E0ED2"/>
    <w:rsid w:val="009E4520"/>
    <w:rsid w:val="009E47ED"/>
    <w:rsid w:val="009F010C"/>
    <w:rsid w:val="009F1104"/>
    <w:rsid w:val="009F25E7"/>
    <w:rsid w:val="009F72D0"/>
    <w:rsid w:val="009F7B29"/>
    <w:rsid w:val="00A001B5"/>
    <w:rsid w:val="00A011D1"/>
    <w:rsid w:val="00A063A3"/>
    <w:rsid w:val="00A152B5"/>
    <w:rsid w:val="00A157EC"/>
    <w:rsid w:val="00A20BB6"/>
    <w:rsid w:val="00A220E9"/>
    <w:rsid w:val="00A224C2"/>
    <w:rsid w:val="00A22F85"/>
    <w:rsid w:val="00A237B8"/>
    <w:rsid w:val="00A23CFE"/>
    <w:rsid w:val="00A245D6"/>
    <w:rsid w:val="00A250FF"/>
    <w:rsid w:val="00A251D5"/>
    <w:rsid w:val="00A2591C"/>
    <w:rsid w:val="00A2655D"/>
    <w:rsid w:val="00A27455"/>
    <w:rsid w:val="00A310A8"/>
    <w:rsid w:val="00A3274F"/>
    <w:rsid w:val="00A34595"/>
    <w:rsid w:val="00A362FB"/>
    <w:rsid w:val="00A42139"/>
    <w:rsid w:val="00A4480F"/>
    <w:rsid w:val="00A46EEB"/>
    <w:rsid w:val="00A50C52"/>
    <w:rsid w:val="00A55C73"/>
    <w:rsid w:val="00A57B65"/>
    <w:rsid w:val="00A60928"/>
    <w:rsid w:val="00A6205A"/>
    <w:rsid w:val="00A6276D"/>
    <w:rsid w:val="00A628ED"/>
    <w:rsid w:val="00A6781F"/>
    <w:rsid w:val="00A70696"/>
    <w:rsid w:val="00A7176B"/>
    <w:rsid w:val="00A84F04"/>
    <w:rsid w:val="00A92555"/>
    <w:rsid w:val="00A94508"/>
    <w:rsid w:val="00A96B7F"/>
    <w:rsid w:val="00A97433"/>
    <w:rsid w:val="00AA0C46"/>
    <w:rsid w:val="00AA0D12"/>
    <w:rsid w:val="00AA4E43"/>
    <w:rsid w:val="00AB0E67"/>
    <w:rsid w:val="00AC3CC2"/>
    <w:rsid w:val="00AC3F1E"/>
    <w:rsid w:val="00AC52B4"/>
    <w:rsid w:val="00AC54CC"/>
    <w:rsid w:val="00AC5C56"/>
    <w:rsid w:val="00AC69D4"/>
    <w:rsid w:val="00AD343D"/>
    <w:rsid w:val="00AD359E"/>
    <w:rsid w:val="00AD5976"/>
    <w:rsid w:val="00AD7168"/>
    <w:rsid w:val="00AD7DD1"/>
    <w:rsid w:val="00AE182C"/>
    <w:rsid w:val="00AE448B"/>
    <w:rsid w:val="00AE6173"/>
    <w:rsid w:val="00AF14BB"/>
    <w:rsid w:val="00AF35F3"/>
    <w:rsid w:val="00AF486B"/>
    <w:rsid w:val="00B04AEF"/>
    <w:rsid w:val="00B105D4"/>
    <w:rsid w:val="00B14E2B"/>
    <w:rsid w:val="00B20165"/>
    <w:rsid w:val="00B2098F"/>
    <w:rsid w:val="00B22FD4"/>
    <w:rsid w:val="00B24536"/>
    <w:rsid w:val="00B2678A"/>
    <w:rsid w:val="00B27783"/>
    <w:rsid w:val="00B32D0F"/>
    <w:rsid w:val="00B335C5"/>
    <w:rsid w:val="00B47346"/>
    <w:rsid w:val="00B47FAA"/>
    <w:rsid w:val="00B51F01"/>
    <w:rsid w:val="00B52079"/>
    <w:rsid w:val="00B520F2"/>
    <w:rsid w:val="00B52BB6"/>
    <w:rsid w:val="00B65649"/>
    <w:rsid w:val="00B74BB7"/>
    <w:rsid w:val="00B75D5A"/>
    <w:rsid w:val="00B7662C"/>
    <w:rsid w:val="00B76C9C"/>
    <w:rsid w:val="00B9222F"/>
    <w:rsid w:val="00B94561"/>
    <w:rsid w:val="00BA109E"/>
    <w:rsid w:val="00BA2B70"/>
    <w:rsid w:val="00BA4C28"/>
    <w:rsid w:val="00BA6A82"/>
    <w:rsid w:val="00BA75D7"/>
    <w:rsid w:val="00BB2C9B"/>
    <w:rsid w:val="00BB3567"/>
    <w:rsid w:val="00BB4009"/>
    <w:rsid w:val="00BC0BEE"/>
    <w:rsid w:val="00BC0EFA"/>
    <w:rsid w:val="00BC595C"/>
    <w:rsid w:val="00BC6205"/>
    <w:rsid w:val="00BD1BCA"/>
    <w:rsid w:val="00BD6A27"/>
    <w:rsid w:val="00BD7A1D"/>
    <w:rsid w:val="00BE3146"/>
    <w:rsid w:val="00BE3471"/>
    <w:rsid w:val="00BE5E9A"/>
    <w:rsid w:val="00BF3725"/>
    <w:rsid w:val="00BF6DE9"/>
    <w:rsid w:val="00BF6E97"/>
    <w:rsid w:val="00C00C0D"/>
    <w:rsid w:val="00C0117D"/>
    <w:rsid w:val="00C0384A"/>
    <w:rsid w:val="00C1463B"/>
    <w:rsid w:val="00C17607"/>
    <w:rsid w:val="00C204BB"/>
    <w:rsid w:val="00C2194F"/>
    <w:rsid w:val="00C24316"/>
    <w:rsid w:val="00C3466F"/>
    <w:rsid w:val="00C34B20"/>
    <w:rsid w:val="00C3715F"/>
    <w:rsid w:val="00C4043C"/>
    <w:rsid w:val="00C40649"/>
    <w:rsid w:val="00C4193F"/>
    <w:rsid w:val="00C43657"/>
    <w:rsid w:val="00C77499"/>
    <w:rsid w:val="00C77FE9"/>
    <w:rsid w:val="00C84B1A"/>
    <w:rsid w:val="00C85590"/>
    <w:rsid w:val="00C862E6"/>
    <w:rsid w:val="00C90019"/>
    <w:rsid w:val="00C93B86"/>
    <w:rsid w:val="00C96D9F"/>
    <w:rsid w:val="00CA2834"/>
    <w:rsid w:val="00CA3897"/>
    <w:rsid w:val="00CA3A52"/>
    <w:rsid w:val="00CA4426"/>
    <w:rsid w:val="00CC4202"/>
    <w:rsid w:val="00CC6BD9"/>
    <w:rsid w:val="00CD5E1D"/>
    <w:rsid w:val="00CD7A8F"/>
    <w:rsid w:val="00CE045F"/>
    <w:rsid w:val="00CE138A"/>
    <w:rsid w:val="00CE3910"/>
    <w:rsid w:val="00CE429F"/>
    <w:rsid w:val="00CE50FD"/>
    <w:rsid w:val="00CE556C"/>
    <w:rsid w:val="00CF0F39"/>
    <w:rsid w:val="00CF3738"/>
    <w:rsid w:val="00CF5456"/>
    <w:rsid w:val="00D04CB6"/>
    <w:rsid w:val="00D05729"/>
    <w:rsid w:val="00D1001C"/>
    <w:rsid w:val="00D10E49"/>
    <w:rsid w:val="00D119E4"/>
    <w:rsid w:val="00D1257C"/>
    <w:rsid w:val="00D136E6"/>
    <w:rsid w:val="00D1792E"/>
    <w:rsid w:val="00D24C80"/>
    <w:rsid w:val="00D25F44"/>
    <w:rsid w:val="00D3519C"/>
    <w:rsid w:val="00D37973"/>
    <w:rsid w:val="00D4083F"/>
    <w:rsid w:val="00D40A72"/>
    <w:rsid w:val="00D40D7C"/>
    <w:rsid w:val="00D41D3D"/>
    <w:rsid w:val="00D43580"/>
    <w:rsid w:val="00D4498A"/>
    <w:rsid w:val="00D467B6"/>
    <w:rsid w:val="00D47143"/>
    <w:rsid w:val="00D54633"/>
    <w:rsid w:val="00D66116"/>
    <w:rsid w:val="00D6768A"/>
    <w:rsid w:val="00D720DE"/>
    <w:rsid w:val="00D72756"/>
    <w:rsid w:val="00D72B53"/>
    <w:rsid w:val="00D74240"/>
    <w:rsid w:val="00D7559B"/>
    <w:rsid w:val="00D76294"/>
    <w:rsid w:val="00D76A3C"/>
    <w:rsid w:val="00D77AB1"/>
    <w:rsid w:val="00D81F8A"/>
    <w:rsid w:val="00D85EBB"/>
    <w:rsid w:val="00D873B9"/>
    <w:rsid w:val="00D87B16"/>
    <w:rsid w:val="00D92483"/>
    <w:rsid w:val="00D92E89"/>
    <w:rsid w:val="00DA4EBD"/>
    <w:rsid w:val="00DB3D82"/>
    <w:rsid w:val="00DB62D7"/>
    <w:rsid w:val="00DB7BD9"/>
    <w:rsid w:val="00DC0562"/>
    <w:rsid w:val="00DC1A24"/>
    <w:rsid w:val="00DC2827"/>
    <w:rsid w:val="00DD054D"/>
    <w:rsid w:val="00DD4221"/>
    <w:rsid w:val="00DE2788"/>
    <w:rsid w:val="00DF6153"/>
    <w:rsid w:val="00E02C46"/>
    <w:rsid w:val="00E04157"/>
    <w:rsid w:val="00E150C7"/>
    <w:rsid w:val="00E1528B"/>
    <w:rsid w:val="00E21744"/>
    <w:rsid w:val="00E230E3"/>
    <w:rsid w:val="00E30A36"/>
    <w:rsid w:val="00E32652"/>
    <w:rsid w:val="00E35329"/>
    <w:rsid w:val="00E35C8D"/>
    <w:rsid w:val="00E37A0F"/>
    <w:rsid w:val="00E4007C"/>
    <w:rsid w:val="00E43F57"/>
    <w:rsid w:val="00E4478A"/>
    <w:rsid w:val="00E455B0"/>
    <w:rsid w:val="00E46736"/>
    <w:rsid w:val="00E51B30"/>
    <w:rsid w:val="00E579E8"/>
    <w:rsid w:val="00E57D43"/>
    <w:rsid w:val="00E60CB2"/>
    <w:rsid w:val="00E66B33"/>
    <w:rsid w:val="00E703E6"/>
    <w:rsid w:val="00E71956"/>
    <w:rsid w:val="00E757E2"/>
    <w:rsid w:val="00E839C1"/>
    <w:rsid w:val="00E84B26"/>
    <w:rsid w:val="00E946AB"/>
    <w:rsid w:val="00E96320"/>
    <w:rsid w:val="00EA0242"/>
    <w:rsid w:val="00EA062B"/>
    <w:rsid w:val="00EB03B8"/>
    <w:rsid w:val="00EB57C2"/>
    <w:rsid w:val="00EC0B37"/>
    <w:rsid w:val="00EC39E1"/>
    <w:rsid w:val="00ED1E18"/>
    <w:rsid w:val="00ED2B34"/>
    <w:rsid w:val="00ED7A24"/>
    <w:rsid w:val="00EE1521"/>
    <w:rsid w:val="00EE1D6C"/>
    <w:rsid w:val="00EF05D2"/>
    <w:rsid w:val="00EF7C83"/>
    <w:rsid w:val="00F0292B"/>
    <w:rsid w:val="00F02C62"/>
    <w:rsid w:val="00F10850"/>
    <w:rsid w:val="00F16F2E"/>
    <w:rsid w:val="00F277DE"/>
    <w:rsid w:val="00F3000C"/>
    <w:rsid w:val="00F32219"/>
    <w:rsid w:val="00F32285"/>
    <w:rsid w:val="00F32EF6"/>
    <w:rsid w:val="00F34E46"/>
    <w:rsid w:val="00F3631D"/>
    <w:rsid w:val="00F3737A"/>
    <w:rsid w:val="00F43770"/>
    <w:rsid w:val="00F50951"/>
    <w:rsid w:val="00F51749"/>
    <w:rsid w:val="00F51856"/>
    <w:rsid w:val="00F55D1E"/>
    <w:rsid w:val="00F5627E"/>
    <w:rsid w:val="00F56482"/>
    <w:rsid w:val="00F573D8"/>
    <w:rsid w:val="00F61127"/>
    <w:rsid w:val="00F61DBF"/>
    <w:rsid w:val="00F640CE"/>
    <w:rsid w:val="00F72993"/>
    <w:rsid w:val="00F74A03"/>
    <w:rsid w:val="00F84D71"/>
    <w:rsid w:val="00F929E6"/>
    <w:rsid w:val="00F94CAB"/>
    <w:rsid w:val="00F971F4"/>
    <w:rsid w:val="00FB2E25"/>
    <w:rsid w:val="00FB6160"/>
    <w:rsid w:val="00FB623C"/>
    <w:rsid w:val="00FB7ADC"/>
    <w:rsid w:val="00FC1908"/>
    <w:rsid w:val="00FC231D"/>
    <w:rsid w:val="00FC5C4F"/>
    <w:rsid w:val="00FC77EE"/>
    <w:rsid w:val="00FD3261"/>
    <w:rsid w:val="00FD3EB7"/>
    <w:rsid w:val="00FD7B5F"/>
    <w:rsid w:val="00FE3FCC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footer" Target="footer1.xml"/><Relationship Id="rId20" Type="http://schemas.openxmlformats.org/officeDocument/2006/relationships/image" Target="media/image13.emf"/><Relationship Id="rId41" Type="http://schemas.openxmlformats.org/officeDocument/2006/relationships/image" Target="media/image3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20</Pages>
  <Words>2096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17</cp:revision>
  <cp:lastPrinted>2025-06-13T16:39:00Z</cp:lastPrinted>
  <dcterms:created xsi:type="dcterms:W3CDTF">2025-06-02T16:57:00Z</dcterms:created>
  <dcterms:modified xsi:type="dcterms:W3CDTF">2025-06-19T22:19:00Z</dcterms:modified>
</cp:coreProperties>
</file>