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B93CA" w14:textId="0F5004A7" w:rsidR="00CF3738" w:rsidRDefault="00CF3738" w:rsidP="00CF3738">
      <w:pPr>
        <w:rPr>
          <w:lang w:val="es-GT" w:eastAsia="es-MX"/>
        </w:rPr>
      </w:pPr>
    </w:p>
    <w:p w14:paraId="11C28533" w14:textId="75BC773B" w:rsidR="00980AA0" w:rsidRDefault="00980AA0" w:rsidP="00CF3738">
      <w:pPr>
        <w:rPr>
          <w:lang w:val="es-GT" w:eastAsia="es-MX"/>
        </w:rPr>
      </w:pPr>
    </w:p>
    <w:p w14:paraId="427A39DC" w14:textId="284A0F67" w:rsidR="00980AA0" w:rsidRPr="006A01BB" w:rsidRDefault="006A01BB" w:rsidP="006A01BB">
      <w:pPr>
        <w:jc w:val="center"/>
        <w:rPr>
          <w:b/>
          <w:bCs/>
          <w:color w:val="002060"/>
          <w:sz w:val="72"/>
          <w:szCs w:val="72"/>
          <w:lang w:val="es-GT" w:eastAsia="es-MX"/>
        </w:rPr>
      </w:pPr>
      <w:r w:rsidRPr="006A01BB">
        <w:rPr>
          <w:b/>
          <w:bCs/>
          <w:color w:val="002060"/>
          <w:sz w:val="72"/>
          <w:szCs w:val="72"/>
          <w:lang w:val="es-GT" w:eastAsia="es-MX"/>
        </w:rPr>
        <w:t>INFORME ESTADÍSTICO</w:t>
      </w:r>
    </w:p>
    <w:p w14:paraId="3B934784" w14:textId="309CB2CD" w:rsidR="00980AA0" w:rsidRPr="006A01BB" w:rsidRDefault="00980AA0" w:rsidP="006A01BB">
      <w:pPr>
        <w:jc w:val="center"/>
        <w:rPr>
          <w:b/>
          <w:bCs/>
          <w:color w:val="002060"/>
          <w:sz w:val="72"/>
          <w:szCs w:val="72"/>
          <w:lang w:val="es-GT" w:eastAsia="es-MX"/>
        </w:rPr>
      </w:pPr>
    </w:p>
    <w:p w14:paraId="33E3B807" w14:textId="1EE091E7" w:rsidR="00686A29" w:rsidRPr="006A01BB" w:rsidRDefault="006A01BB" w:rsidP="006A01BB">
      <w:pPr>
        <w:jc w:val="center"/>
        <w:rPr>
          <w:b/>
          <w:bCs/>
          <w:color w:val="002060"/>
          <w:sz w:val="72"/>
          <w:szCs w:val="72"/>
          <w:lang w:val="es-GT" w:eastAsia="es-MX"/>
        </w:rPr>
      </w:pPr>
      <w:r w:rsidRPr="006A01BB">
        <w:rPr>
          <w:b/>
          <w:bCs/>
          <w:color w:val="002060"/>
          <w:sz w:val="72"/>
          <w:szCs w:val="72"/>
          <w:lang w:val="es-GT" w:eastAsia="es-MX"/>
        </w:rPr>
        <w:t>NOVIEMBRE 2025</w:t>
      </w:r>
    </w:p>
    <w:p w14:paraId="158CCE78" w14:textId="22BD3C13" w:rsidR="00686A29" w:rsidRDefault="00686A29" w:rsidP="00CF3738">
      <w:pPr>
        <w:rPr>
          <w:lang w:val="es-GT" w:eastAsia="es-MX"/>
        </w:rPr>
      </w:pPr>
    </w:p>
    <w:p w14:paraId="1493980F" w14:textId="7D3D3869" w:rsidR="00686A29" w:rsidRDefault="00686A29" w:rsidP="00CF3738">
      <w:pPr>
        <w:rPr>
          <w:lang w:val="es-GT" w:eastAsia="es-MX"/>
        </w:rPr>
      </w:pPr>
    </w:p>
    <w:p w14:paraId="30AA007E" w14:textId="04E1AE6E" w:rsidR="00686A29" w:rsidRDefault="00686A29" w:rsidP="00CF3738">
      <w:pPr>
        <w:rPr>
          <w:lang w:val="es-GT" w:eastAsia="es-MX"/>
        </w:rPr>
      </w:pPr>
    </w:p>
    <w:sdt>
      <w:sdtPr>
        <w:rPr>
          <w:rFonts w:cs="Times New Roman"/>
          <w:sz w:val="22"/>
          <w:szCs w:val="22"/>
        </w:rPr>
        <w:id w:val="-344709322"/>
        <w:docPartObj>
          <w:docPartGallery w:val="Table of Contents"/>
          <w:docPartUnique/>
        </w:docPartObj>
      </w:sdtPr>
      <w:sdtEndPr>
        <w:rPr>
          <w:rFonts w:eastAsiaTheme="minorHAnsi"/>
          <w:bCs/>
          <w:color w:val="auto"/>
          <w:lang w:eastAsia="en-US"/>
        </w:rPr>
      </w:sdtEndPr>
      <w:sdtContent>
        <w:p w14:paraId="4C3D522E" w14:textId="3933E47F" w:rsidR="00CE5A2E" w:rsidRDefault="00CE5A2E">
          <w:pPr>
            <w:pStyle w:val="TtuloTDC"/>
            <w:rPr>
              <w:rFonts w:cs="Times New Roman"/>
              <w:sz w:val="22"/>
              <w:szCs w:val="22"/>
            </w:rPr>
          </w:pPr>
          <w:r w:rsidRPr="00795387">
            <w:rPr>
              <w:rFonts w:cs="Times New Roman"/>
              <w:sz w:val="22"/>
              <w:szCs w:val="22"/>
            </w:rPr>
            <w:t>C</w:t>
          </w:r>
          <w:r w:rsidR="00795387" w:rsidRPr="00795387">
            <w:rPr>
              <w:rFonts w:cs="Times New Roman"/>
              <w:sz w:val="22"/>
              <w:szCs w:val="22"/>
            </w:rPr>
            <w:t>ONTENIDO</w:t>
          </w:r>
        </w:p>
        <w:p w14:paraId="697B48D1" w14:textId="77777777" w:rsidR="002664F1" w:rsidRPr="002664F1" w:rsidRDefault="002664F1" w:rsidP="002664F1">
          <w:pPr>
            <w:rPr>
              <w:lang w:val="es-MX" w:eastAsia="es-MX"/>
            </w:rPr>
          </w:pPr>
        </w:p>
        <w:p w14:paraId="29137812" w14:textId="38D3B02A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r w:rsidRPr="00795387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795387">
            <w:rPr>
              <w:rFonts w:ascii="Times New Roman" w:hAnsi="Times New Roman" w:cs="Times New Roman"/>
              <w:sz w:val="22"/>
              <w:szCs w:val="22"/>
            </w:rPr>
            <w:instrText xml:space="preserve"> TOC \o "1-3" \h \z \u </w:instrText>
          </w:r>
          <w:r w:rsidRPr="00795387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216788736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_Toc216788736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4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AF2013C" w14:textId="216B75FE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37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_Toc216788737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264B90" w14:textId="685F90F7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38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_Toc216788738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8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2DBB64" w14:textId="55E42F00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39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_Toc216788739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9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7AAA45" w14:textId="4FB8BC77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0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Consumidor y Usuario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_Toc216788740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11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AE2E2B8" w14:textId="437C6266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1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Personas capacitadas, Conferencias impartidas y material educativo-informativo distribuido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_Toc216788741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15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209BE3" w14:textId="1098ED51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2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Libros Autorizados y Recepción de Expedientes de Contratos de Adhesión e Instrumentos de Medición y Pesaje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_Toc216788742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16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0934CD" w14:textId="63499681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3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Verificación y Vigilancia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_Toc216788743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18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73B4E26" w14:textId="723F23E2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4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Plan Centinela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_Toc216788744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18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31F20E" w14:textId="5C297257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5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Procedimiento Administrativo Sancionatorio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_Toc216788745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25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C1FCC4B" w14:textId="53CB67F5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6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Recepción de Quejas por Actividad Económica -Unidad de Protección de Servicios Financieros -UPSF-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_Toc216788746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26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ED1E7B" w14:textId="2869C6D4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7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Captación de Quejas -UPSF-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_Toc216788747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26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B7283A" w14:textId="24E0CCF1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8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Quejas Documentadas -UPSF-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_Toc216788748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27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8F2736" w14:textId="5C13DE62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49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Atención y Resolución de Quejas de la Unidad de Protección de Servicios Financieros y Asesorías -UPSF-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_Toc216788749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28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E04346" w14:textId="250A7BAC" w:rsidR="00CE5A2E" w:rsidRPr="00795387" w:rsidRDefault="00CE5A2E">
          <w:pPr>
            <w:pStyle w:val="TDC1"/>
            <w:tabs>
              <w:tab w:val="right" w:leader="dot" w:pos="9394"/>
            </w:tabs>
            <w:rPr>
              <w:rFonts w:ascii="Times New Roman" w:eastAsiaTheme="minorEastAsia" w:hAnsi="Times New Roman" w:cs="Times New Roman"/>
              <w:noProof/>
              <w:kern w:val="2"/>
              <w:sz w:val="22"/>
              <w:szCs w:val="22"/>
              <w:lang w:val="es-GT" w:eastAsia="es-GT"/>
              <w14:ligatures w14:val="standardContextual"/>
            </w:rPr>
          </w:pPr>
          <w:hyperlink w:anchor="_Toc216788750" w:history="1">
            <w:r w:rsidRPr="00795387">
              <w:rPr>
                <w:rStyle w:val="Hipervnculo"/>
                <w:rFonts w:ascii="Times New Roman" w:hAnsi="Times New Roman" w:cs="Times New Roman"/>
                <w:noProof/>
                <w:sz w:val="22"/>
                <w:szCs w:val="22"/>
              </w:rPr>
              <w:t>Recuperaciones a favor del Tarjetahabiente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ab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begin"/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instrText xml:space="preserve"> PAGEREF _Toc216788750 \h </w:instrTex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separate"/>
            </w:r>
            <w:r w:rsidR="00905CEA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t>29</w:t>
            </w:r>
            <w:r w:rsidRPr="00795387">
              <w:rPr>
                <w:rFonts w:ascii="Times New Roman" w:hAnsi="Times New Roman" w:cs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98DA78" w14:textId="77777777" w:rsidR="00795387" w:rsidRDefault="00CE5A2E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  <w:r w:rsidRPr="00795387"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  <w:fldChar w:fldCharType="end"/>
          </w:r>
        </w:p>
        <w:p w14:paraId="2D554A86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1D6C225B" w14:textId="77777777" w:rsidR="00795387" w:rsidRDefault="00795387">
          <w:pPr>
            <w:rPr>
              <w:rFonts w:ascii="Times New Roman" w:hAnsi="Times New Roman" w:cs="Times New Roman"/>
              <w:b/>
              <w:bCs/>
              <w:sz w:val="22"/>
              <w:szCs w:val="22"/>
              <w:lang w:val="es-MX"/>
            </w:rPr>
          </w:pPr>
        </w:p>
        <w:p w14:paraId="678689E6" w14:textId="3C18C5E1" w:rsidR="00CE5A2E" w:rsidRPr="00795387" w:rsidRDefault="00CE5A2E">
          <w:pPr>
            <w:rPr>
              <w:rFonts w:ascii="Times New Roman" w:hAnsi="Times New Roman" w:cs="Times New Roman"/>
              <w:sz w:val="22"/>
              <w:szCs w:val="22"/>
            </w:rPr>
          </w:pPr>
        </w:p>
      </w:sdtContent>
    </w:sdt>
    <w:p w14:paraId="60ED5E77" w14:textId="44E0EEA2" w:rsidR="00686A29" w:rsidRDefault="00686A29" w:rsidP="00CF3738">
      <w:pPr>
        <w:rPr>
          <w:lang w:val="es-GT" w:eastAsia="es-MX"/>
        </w:rPr>
      </w:pPr>
    </w:p>
    <w:p w14:paraId="73A7BD1F" w14:textId="7909CB79" w:rsidR="005371CD" w:rsidRDefault="005371CD" w:rsidP="00CF3738">
      <w:pPr>
        <w:rPr>
          <w:lang w:eastAsia="es-MX"/>
        </w:rPr>
      </w:pPr>
    </w:p>
    <w:p w14:paraId="6C7122F7" w14:textId="4C91AB8D" w:rsidR="004F4B95" w:rsidRDefault="004F4B95" w:rsidP="00CF3738">
      <w:pPr>
        <w:rPr>
          <w:lang w:eastAsia="es-MX"/>
        </w:rPr>
      </w:pPr>
    </w:p>
    <w:p w14:paraId="0B6F1D5D" w14:textId="40C623CB" w:rsidR="004F4B95" w:rsidRDefault="004F4B95" w:rsidP="00CF3738">
      <w:pPr>
        <w:rPr>
          <w:lang w:eastAsia="es-MX"/>
        </w:rPr>
      </w:pPr>
    </w:p>
    <w:p w14:paraId="0C5806A1" w14:textId="280306D6" w:rsidR="004F4B95" w:rsidRDefault="004F4B95" w:rsidP="00CF3738">
      <w:pPr>
        <w:rPr>
          <w:lang w:eastAsia="es-MX"/>
        </w:rPr>
      </w:pPr>
    </w:p>
    <w:p w14:paraId="01A94529" w14:textId="77777777" w:rsidR="00795387" w:rsidRDefault="00795387" w:rsidP="00CF3738">
      <w:pPr>
        <w:rPr>
          <w:lang w:eastAsia="es-MX"/>
        </w:rPr>
      </w:pPr>
    </w:p>
    <w:p w14:paraId="4A38F273" w14:textId="1555C658" w:rsidR="00B80992" w:rsidRPr="00795387" w:rsidRDefault="0055589B" w:rsidP="00795387">
      <w:pPr>
        <w:jc w:val="both"/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795387">
        <w:rPr>
          <w:rFonts w:ascii="Times New Roman" w:hAnsi="Times New Roman" w:cs="Times New Roman"/>
          <w:b/>
          <w:bCs/>
          <w:color w:val="002060"/>
          <w:sz w:val="22"/>
          <w:szCs w:val="22"/>
        </w:rPr>
        <w:t>CUADROS</w:t>
      </w:r>
    </w:p>
    <w:p w14:paraId="0A58803F" w14:textId="25C2D79A" w:rsidR="008436AB" w:rsidRDefault="008436AB" w:rsidP="00E94BF6">
      <w:pPr>
        <w:pStyle w:val="Tablas"/>
        <w:rPr>
          <w:rFonts w:cs="Times New Roman"/>
          <w:bCs/>
          <w:sz w:val="22"/>
          <w:szCs w:val="22"/>
        </w:rPr>
      </w:pPr>
    </w:p>
    <w:p w14:paraId="6B5C2B14" w14:textId="57990F12" w:rsidR="001D5871" w:rsidRPr="001D5871" w:rsidRDefault="00E94BF6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r w:rsidRPr="001D5871">
        <w:rPr>
          <w:rFonts w:cs="Times New Roman"/>
          <w:bCs/>
          <w:szCs w:val="22"/>
        </w:rPr>
        <w:fldChar w:fldCharType="begin"/>
      </w:r>
      <w:r w:rsidRPr="001D5871">
        <w:rPr>
          <w:rFonts w:cs="Times New Roman"/>
          <w:bCs/>
          <w:szCs w:val="22"/>
        </w:rPr>
        <w:instrText xml:space="preserve"> TOC \f F \p " " \h \z \t "Tablas" \c </w:instrText>
      </w:r>
      <w:r w:rsidRPr="001D5871">
        <w:rPr>
          <w:rFonts w:cs="Times New Roman"/>
          <w:bCs/>
          <w:szCs w:val="22"/>
        </w:rPr>
        <w:fldChar w:fldCharType="separate"/>
      </w:r>
      <w:hyperlink w:anchor="_Toc216797427" w:history="1">
        <w:r w:rsidR="001D5871" w:rsidRPr="001D5871">
          <w:rPr>
            <w:rStyle w:val="Hipervnculo"/>
            <w:noProof/>
            <w:color w:val="auto"/>
            <w:u w:val="none"/>
          </w:rPr>
          <w:t>Cuadro 1: Recepción de Quejas, noviembre 2025</w:t>
        </w:r>
        <w:r w:rsidR="001D5871" w:rsidRPr="001D5871">
          <w:rPr>
            <w:noProof/>
            <w:webHidden/>
          </w:rPr>
          <w:t xml:space="preserve"> </w:t>
        </w:r>
        <w:r w:rsidR="001D5871">
          <w:rPr>
            <w:i/>
            <w:noProof/>
            <w:webHidden/>
          </w:rPr>
          <w:tab/>
        </w:r>
        <w:r w:rsidR="001D5871" w:rsidRPr="001D5871">
          <w:rPr>
            <w:noProof/>
            <w:webHidden/>
          </w:rPr>
          <w:fldChar w:fldCharType="begin"/>
        </w:r>
        <w:r w:rsidR="001D5871" w:rsidRPr="001D5871">
          <w:rPr>
            <w:noProof/>
            <w:webHidden/>
          </w:rPr>
          <w:instrText xml:space="preserve"> PAGEREF _Toc216797427 \h </w:instrText>
        </w:r>
        <w:r w:rsidR="001D5871" w:rsidRPr="001D5871">
          <w:rPr>
            <w:noProof/>
            <w:webHidden/>
          </w:rPr>
        </w:r>
        <w:r w:rsidR="001D5871"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4</w:t>
        </w:r>
        <w:r w:rsidR="001D5871" w:rsidRPr="001D5871">
          <w:rPr>
            <w:noProof/>
            <w:webHidden/>
          </w:rPr>
          <w:fldChar w:fldCharType="end"/>
        </w:r>
      </w:hyperlink>
    </w:p>
    <w:p w14:paraId="49ED7E19" w14:textId="39F39971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28" w:history="1">
        <w:r w:rsidRPr="001D5871">
          <w:rPr>
            <w:rStyle w:val="Hipervnculo"/>
            <w:noProof/>
            <w:color w:val="auto"/>
            <w:u w:val="none"/>
          </w:rPr>
          <w:t>Cuadro 2: Recepción de Queja, enero 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_Toc216797428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6</w:t>
        </w:r>
        <w:r w:rsidRPr="001D5871">
          <w:rPr>
            <w:noProof/>
            <w:webHidden/>
          </w:rPr>
          <w:fldChar w:fldCharType="end"/>
        </w:r>
      </w:hyperlink>
    </w:p>
    <w:p w14:paraId="370B6B36" w14:textId="5E2859AC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29" w:history="1">
        <w:r w:rsidRPr="001D5871">
          <w:rPr>
            <w:rStyle w:val="Hipervnculo"/>
            <w:noProof/>
            <w:color w:val="auto"/>
            <w:u w:val="none"/>
          </w:rPr>
          <w:t>Cuadro 3: Captación de Quejas,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_Toc216797429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8</w:t>
        </w:r>
        <w:r w:rsidRPr="001D5871">
          <w:rPr>
            <w:noProof/>
            <w:webHidden/>
          </w:rPr>
          <w:fldChar w:fldCharType="end"/>
        </w:r>
      </w:hyperlink>
    </w:p>
    <w:p w14:paraId="4C1CC032" w14:textId="568E516C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0" w:history="1">
        <w:r w:rsidRPr="001D5871">
          <w:rPr>
            <w:rStyle w:val="Hipervnculo"/>
            <w:noProof/>
            <w:color w:val="auto"/>
            <w:u w:val="none"/>
          </w:rPr>
          <w:t>Cuadro 4: Captación de Quejas, enero –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_Toc216797430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8</w:t>
        </w:r>
        <w:r w:rsidRPr="001D5871">
          <w:rPr>
            <w:noProof/>
            <w:webHidden/>
          </w:rPr>
          <w:fldChar w:fldCharType="end"/>
        </w:r>
      </w:hyperlink>
    </w:p>
    <w:p w14:paraId="0606263E" w14:textId="3A378BAE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1" w:history="1">
        <w:r w:rsidRPr="001D5871">
          <w:rPr>
            <w:rStyle w:val="Hipervnculo"/>
            <w:noProof/>
            <w:color w:val="auto"/>
            <w:u w:val="none"/>
          </w:rPr>
          <w:t>Cuadro 5: Quejas Documentadas,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_Toc216797431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8</w:t>
        </w:r>
        <w:r w:rsidRPr="001D5871">
          <w:rPr>
            <w:noProof/>
            <w:webHidden/>
          </w:rPr>
          <w:fldChar w:fldCharType="end"/>
        </w:r>
      </w:hyperlink>
    </w:p>
    <w:p w14:paraId="34F5D777" w14:textId="291DDD1B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2" w:history="1">
        <w:r w:rsidRPr="001D5871">
          <w:rPr>
            <w:rStyle w:val="Hipervnculo"/>
            <w:noProof/>
            <w:color w:val="auto"/>
            <w:u w:val="none"/>
          </w:rPr>
          <w:t>Cuadro 6: Quejas Documentadas, enero–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_Toc216797432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9</w:t>
        </w:r>
        <w:r w:rsidRPr="001D5871">
          <w:rPr>
            <w:noProof/>
            <w:webHidden/>
          </w:rPr>
          <w:fldChar w:fldCharType="end"/>
        </w:r>
      </w:hyperlink>
    </w:p>
    <w:p w14:paraId="5657B9E2" w14:textId="28F0F2D7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3" w:history="1">
        <w:r w:rsidRPr="001D5871">
          <w:rPr>
            <w:rStyle w:val="Hipervnculo"/>
            <w:noProof/>
            <w:color w:val="auto"/>
            <w:u w:val="none"/>
          </w:rPr>
          <w:t>Cuadro 7:  Resolución de Quejas,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_Toc216797433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9</w:t>
        </w:r>
        <w:r w:rsidRPr="001D5871">
          <w:rPr>
            <w:noProof/>
            <w:webHidden/>
          </w:rPr>
          <w:fldChar w:fldCharType="end"/>
        </w:r>
      </w:hyperlink>
    </w:p>
    <w:p w14:paraId="7E830224" w14:textId="4105438D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4" w:history="1">
        <w:r w:rsidRPr="001D5871">
          <w:rPr>
            <w:rStyle w:val="Hipervnculo"/>
            <w:noProof/>
            <w:color w:val="auto"/>
            <w:u w:val="none"/>
          </w:rPr>
          <w:t>Cuadro 8: Resolución de Quejas, enero –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_Toc216797434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10</w:t>
        </w:r>
        <w:r w:rsidRPr="001D5871">
          <w:rPr>
            <w:noProof/>
            <w:webHidden/>
          </w:rPr>
          <w:fldChar w:fldCharType="end"/>
        </w:r>
      </w:hyperlink>
    </w:p>
    <w:p w14:paraId="02F626A1" w14:textId="6EFFB8F2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5" w:history="1">
        <w:r w:rsidRPr="001D5871">
          <w:rPr>
            <w:rStyle w:val="Hipervnculo"/>
            <w:noProof/>
            <w:color w:val="auto"/>
            <w:u w:val="none"/>
          </w:rPr>
          <w:t>Cuadro 9: Recuperaciones a favor del Consumidor y Usuario, enero 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_Toc216797435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11</w:t>
        </w:r>
        <w:r w:rsidRPr="001D5871">
          <w:rPr>
            <w:noProof/>
            <w:webHidden/>
          </w:rPr>
          <w:fldChar w:fldCharType="end"/>
        </w:r>
      </w:hyperlink>
    </w:p>
    <w:p w14:paraId="3834923B" w14:textId="05191A4D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6" w:history="1">
        <w:r w:rsidRPr="001D5871">
          <w:rPr>
            <w:rStyle w:val="Hipervnculo"/>
            <w:noProof/>
            <w:color w:val="auto"/>
            <w:u w:val="none"/>
          </w:rPr>
          <w:t>Cuadro 10: Conferencias, Asistentes y Material Educativo-Informativo,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_Toc216797436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15</w:t>
        </w:r>
        <w:r w:rsidRPr="001D5871">
          <w:rPr>
            <w:noProof/>
            <w:webHidden/>
          </w:rPr>
          <w:fldChar w:fldCharType="end"/>
        </w:r>
      </w:hyperlink>
    </w:p>
    <w:p w14:paraId="53DAAD90" w14:textId="7CD2EA13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7" w:history="1">
        <w:r w:rsidRPr="001D5871">
          <w:rPr>
            <w:rStyle w:val="Hipervnculo"/>
            <w:noProof/>
            <w:color w:val="auto"/>
            <w:u w:val="none"/>
          </w:rPr>
          <w:t>Cuadro 11: Conferencias, Asistentes y Material Educativo-Informativo, enero–noviembre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_Toc216797437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15</w:t>
        </w:r>
        <w:r w:rsidRPr="001D5871">
          <w:rPr>
            <w:noProof/>
            <w:webHidden/>
          </w:rPr>
          <w:fldChar w:fldCharType="end"/>
        </w:r>
      </w:hyperlink>
    </w:p>
    <w:p w14:paraId="07414CC6" w14:textId="14F7B414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8" w:history="1">
        <w:r w:rsidRPr="001D5871">
          <w:rPr>
            <w:rStyle w:val="Hipervnculo"/>
            <w:noProof/>
            <w:color w:val="auto"/>
            <w:u w:val="none"/>
          </w:rPr>
          <w:t>Cuadro 12:  Participantes en las Conferencias Impartidas Sobre Derechos y Obligaciones en Materia de Consumo,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_Toc216797438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16</w:t>
        </w:r>
        <w:r w:rsidRPr="001D5871">
          <w:rPr>
            <w:noProof/>
            <w:webHidden/>
          </w:rPr>
          <w:fldChar w:fldCharType="end"/>
        </w:r>
      </w:hyperlink>
    </w:p>
    <w:p w14:paraId="6F2B0B23" w14:textId="6752E110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39" w:history="1">
        <w:r w:rsidRPr="001D5871">
          <w:rPr>
            <w:rStyle w:val="Hipervnculo"/>
            <w:noProof/>
            <w:color w:val="auto"/>
            <w:u w:val="none"/>
          </w:rPr>
          <w:t>Cuadro 13:  Participantes en las Conferencias Impartidas Sobre Derechos y Obligaciones en Materia de Consumo, enero–noviembre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_Toc216797439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16</w:t>
        </w:r>
        <w:r w:rsidRPr="001D5871">
          <w:rPr>
            <w:noProof/>
            <w:webHidden/>
          </w:rPr>
          <w:fldChar w:fldCharType="end"/>
        </w:r>
      </w:hyperlink>
    </w:p>
    <w:p w14:paraId="61573B4B" w14:textId="65F97925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0" w:history="1">
        <w:r w:rsidRPr="001D5871">
          <w:rPr>
            <w:rStyle w:val="Hipervnculo"/>
            <w:noProof/>
            <w:color w:val="auto"/>
            <w:u w:val="none"/>
          </w:rPr>
          <w:t>Cuadro 14: Libros Autorizados, Recepción de Expedientes de Contratos de Adhesión e Instrumentos de Medición y Pesaje,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_Toc216797440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16</w:t>
        </w:r>
        <w:r w:rsidRPr="001D5871">
          <w:rPr>
            <w:noProof/>
            <w:webHidden/>
          </w:rPr>
          <w:fldChar w:fldCharType="end"/>
        </w:r>
      </w:hyperlink>
    </w:p>
    <w:p w14:paraId="6A8A9691" w14:textId="329A4696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1" w:history="1">
        <w:r w:rsidRPr="001D5871">
          <w:rPr>
            <w:rStyle w:val="Hipervnculo"/>
            <w:noProof/>
            <w:color w:val="auto"/>
            <w:u w:val="none"/>
          </w:rPr>
          <w:t>Cuadro 15: Libros Autorizados, Recepción de Expedientes de Contratos de Adhesión e Instrumentos de Medición y Pesaje, enero–noviembre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_Toc216797441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17</w:t>
        </w:r>
        <w:r w:rsidRPr="001D5871">
          <w:rPr>
            <w:noProof/>
            <w:webHidden/>
          </w:rPr>
          <w:fldChar w:fldCharType="end"/>
        </w:r>
      </w:hyperlink>
    </w:p>
    <w:p w14:paraId="61BF2F36" w14:textId="100DCA5D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2" w:history="1">
        <w:r w:rsidRPr="001D5871">
          <w:rPr>
            <w:rStyle w:val="Hipervnculo"/>
            <w:noProof/>
            <w:color w:val="auto"/>
            <w:u w:val="none"/>
          </w:rPr>
          <w:t>Cuadro 16:  Verificaciones,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_Toc216797442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18</w:t>
        </w:r>
        <w:r w:rsidRPr="001D5871">
          <w:rPr>
            <w:noProof/>
            <w:webHidden/>
          </w:rPr>
          <w:fldChar w:fldCharType="end"/>
        </w:r>
      </w:hyperlink>
    </w:p>
    <w:p w14:paraId="7E831217" w14:textId="69C00C6B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3" w:history="1">
        <w:r w:rsidRPr="001D5871">
          <w:rPr>
            <w:rStyle w:val="Hipervnculo"/>
            <w:noProof/>
            <w:color w:val="auto"/>
            <w:u w:val="none"/>
          </w:rPr>
          <w:t>Cuadro 17: Verificaciones Plan Centinela:   Combustibles,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_Toc216797443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18</w:t>
        </w:r>
        <w:r w:rsidRPr="001D5871">
          <w:rPr>
            <w:noProof/>
            <w:webHidden/>
          </w:rPr>
          <w:fldChar w:fldCharType="end"/>
        </w:r>
      </w:hyperlink>
    </w:p>
    <w:p w14:paraId="0559F6A4" w14:textId="082460C0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4" w:history="1">
        <w:r w:rsidRPr="001D5871">
          <w:rPr>
            <w:rStyle w:val="Hipervnculo"/>
            <w:noProof/>
            <w:color w:val="auto"/>
            <w:u w:val="none"/>
          </w:rPr>
          <w:t>Cuadro 18:  Verificaciones Plan Centinela:  Plantas de Gas Propano,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_Toc216797444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21</w:t>
        </w:r>
        <w:r w:rsidRPr="001D5871">
          <w:rPr>
            <w:noProof/>
            <w:webHidden/>
          </w:rPr>
          <w:fldChar w:fldCharType="end"/>
        </w:r>
      </w:hyperlink>
    </w:p>
    <w:p w14:paraId="6757B5D6" w14:textId="022F84DD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5" w:history="1">
        <w:r w:rsidRPr="001D5871">
          <w:rPr>
            <w:rStyle w:val="Hipervnculo"/>
            <w:noProof/>
            <w:color w:val="auto"/>
            <w:u w:val="none"/>
          </w:rPr>
          <w:t>Cuadro 19: Verificaciones Plan Centinela:  Expendios de Gas Propano,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_Toc216797445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24</w:t>
        </w:r>
        <w:r w:rsidRPr="001D5871">
          <w:rPr>
            <w:noProof/>
            <w:webHidden/>
          </w:rPr>
          <w:fldChar w:fldCharType="end"/>
        </w:r>
      </w:hyperlink>
    </w:p>
    <w:p w14:paraId="2AE7BECA" w14:textId="11580758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6" w:history="1">
        <w:r w:rsidRPr="001D5871">
          <w:rPr>
            <w:rStyle w:val="Hipervnculo"/>
            <w:noProof/>
            <w:color w:val="auto"/>
            <w:u w:val="none"/>
          </w:rPr>
          <w:t>Cuadro 20: Sanciones Impuestas,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_Toc216797446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25</w:t>
        </w:r>
        <w:r w:rsidRPr="001D5871">
          <w:rPr>
            <w:noProof/>
            <w:webHidden/>
          </w:rPr>
          <w:fldChar w:fldCharType="end"/>
        </w:r>
      </w:hyperlink>
    </w:p>
    <w:p w14:paraId="178F2261" w14:textId="1E88A836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7" w:history="1">
        <w:r w:rsidRPr="001D5871">
          <w:rPr>
            <w:rStyle w:val="Hipervnculo"/>
            <w:noProof/>
            <w:color w:val="auto"/>
            <w:u w:val="none"/>
          </w:rPr>
          <w:t>Cuadro 21: Resoluciones de Aprobación de Contratos de Adhesión y Verificación de Certificados de Calibración, noviembre 2025.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_Toc216797447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25</w:t>
        </w:r>
        <w:r w:rsidRPr="001D5871">
          <w:rPr>
            <w:noProof/>
            <w:webHidden/>
          </w:rPr>
          <w:fldChar w:fldCharType="end"/>
        </w:r>
      </w:hyperlink>
    </w:p>
    <w:p w14:paraId="6926924B" w14:textId="3E618264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8" w:history="1">
        <w:r w:rsidRPr="001D5871">
          <w:rPr>
            <w:rStyle w:val="Hipervnculo"/>
            <w:noProof/>
            <w:color w:val="auto"/>
            <w:u w:val="none"/>
          </w:rPr>
          <w:t>Cuadro 22: Recepción de Quejas,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_Toc216797448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26</w:t>
        </w:r>
        <w:r w:rsidRPr="001D5871">
          <w:rPr>
            <w:noProof/>
            <w:webHidden/>
          </w:rPr>
          <w:fldChar w:fldCharType="end"/>
        </w:r>
      </w:hyperlink>
    </w:p>
    <w:p w14:paraId="07C723C9" w14:textId="08CB3256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49" w:history="1">
        <w:r w:rsidRPr="001D5871">
          <w:rPr>
            <w:rStyle w:val="Hipervnculo"/>
            <w:noProof/>
            <w:color w:val="auto"/>
            <w:u w:val="none"/>
          </w:rPr>
          <w:t>Cuadro 23: Recepción de Quejas, enero –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_Toc216797449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26</w:t>
        </w:r>
        <w:r w:rsidRPr="001D5871">
          <w:rPr>
            <w:noProof/>
            <w:webHidden/>
          </w:rPr>
          <w:fldChar w:fldCharType="end"/>
        </w:r>
      </w:hyperlink>
    </w:p>
    <w:p w14:paraId="7DB49601" w14:textId="77D8F3C6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0" w:history="1">
        <w:r w:rsidRPr="001D5871">
          <w:rPr>
            <w:rStyle w:val="Hipervnculo"/>
            <w:noProof/>
            <w:color w:val="auto"/>
            <w:u w:val="none"/>
          </w:rPr>
          <w:t>Cuadro 24: Captación de Quejas,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_Toc216797450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26</w:t>
        </w:r>
        <w:r w:rsidRPr="001D5871">
          <w:rPr>
            <w:noProof/>
            <w:webHidden/>
          </w:rPr>
          <w:fldChar w:fldCharType="end"/>
        </w:r>
      </w:hyperlink>
    </w:p>
    <w:p w14:paraId="13EBA937" w14:textId="5EE9C757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1" w:history="1">
        <w:r w:rsidRPr="001D5871">
          <w:rPr>
            <w:rStyle w:val="Hipervnculo"/>
            <w:noProof/>
            <w:color w:val="auto"/>
            <w:u w:val="none"/>
          </w:rPr>
          <w:t>Cuadro 25: Captación de Quejas, enero 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_Toc216797451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27</w:t>
        </w:r>
        <w:r w:rsidRPr="001D5871">
          <w:rPr>
            <w:noProof/>
            <w:webHidden/>
          </w:rPr>
          <w:fldChar w:fldCharType="end"/>
        </w:r>
      </w:hyperlink>
    </w:p>
    <w:p w14:paraId="52C75867" w14:textId="65671247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2" w:history="1">
        <w:r w:rsidRPr="001D5871">
          <w:rPr>
            <w:rStyle w:val="Hipervnculo"/>
            <w:noProof/>
            <w:color w:val="auto"/>
            <w:u w:val="none"/>
          </w:rPr>
          <w:t>Cuadro 26:  Quejas Documentadas,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_Toc216797452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27</w:t>
        </w:r>
        <w:r w:rsidRPr="001D5871">
          <w:rPr>
            <w:noProof/>
            <w:webHidden/>
          </w:rPr>
          <w:fldChar w:fldCharType="end"/>
        </w:r>
      </w:hyperlink>
    </w:p>
    <w:p w14:paraId="449754D0" w14:textId="15EDE6F2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3" w:history="1">
        <w:r w:rsidRPr="001D5871">
          <w:rPr>
            <w:rStyle w:val="Hipervnculo"/>
            <w:noProof/>
            <w:color w:val="auto"/>
            <w:u w:val="none"/>
          </w:rPr>
          <w:t>Cuadro 27:  Quejas Documentadas, enero 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_Toc216797453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27</w:t>
        </w:r>
        <w:r w:rsidRPr="001D5871">
          <w:rPr>
            <w:noProof/>
            <w:webHidden/>
          </w:rPr>
          <w:fldChar w:fldCharType="end"/>
        </w:r>
      </w:hyperlink>
    </w:p>
    <w:p w14:paraId="7C9D90E4" w14:textId="36942E94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4" w:history="1">
        <w:r w:rsidRPr="001D5871">
          <w:rPr>
            <w:rStyle w:val="Hipervnculo"/>
            <w:noProof/>
            <w:color w:val="auto"/>
            <w:u w:val="none"/>
          </w:rPr>
          <w:t>Cuadro 28:   Resolución de Quejas y Asesorías,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_Toc216797454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28</w:t>
        </w:r>
        <w:r w:rsidRPr="001D5871">
          <w:rPr>
            <w:noProof/>
            <w:webHidden/>
          </w:rPr>
          <w:fldChar w:fldCharType="end"/>
        </w:r>
      </w:hyperlink>
    </w:p>
    <w:p w14:paraId="43CC7928" w14:textId="3872C04E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5" w:history="1">
        <w:r w:rsidRPr="001D5871">
          <w:rPr>
            <w:rStyle w:val="Hipervnculo"/>
            <w:noProof/>
            <w:color w:val="auto"/>
            <w:u w:val="none"/>
          </w:rPr>
          <w:t>Cuadro 29:  Resolución de Quejas, enero – noviembre 2025</w:t>
        </w:r>
        <w:r w:rsidRPr="001D5871">
          <w:rPr>
            <w:noProof/>
            <w:webHidden/>
          </w:rPr>
          <w:t xml:space="preserve"> </w:t>
        </w:r>
        <w:r>
          <w:rPr>
            <w:i/>
            <w:noProof/>
            <w:webHidden/>
          </w:rPr>
          <w:tab/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_Toc216797455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28</w:t>
        </w:r>
        <w:r w:rsidRPr="001D5871">
          <w:rPr>
            <w:noProof/>
            <w:webHidden/>
          </w:rPr>
          <w:fldChar w:fldCharType="end"/>
        </w:r>
      </w:hyperlink>
    </w:p>
    <w:p w14:paraId="1650D6F7" w14:textId="612FF392" w:rsidR="001D5871" w:rsidRPr="001D5871" w:rsidRDefault="001D5871">
      <w:pPr>
        <w:pStyle w:val="Tabladeilustraciones"/>
        <w:tabs>
          <w:tab w:val="right" w:leader="dot" w:pos="9394"/>
        </w:tabs>
        <w:rPr>
          <w:rFonts w:eastAsiaTheme="minorEastAsia" w:cstheme="minorBidi"/>
          <w:iCs w:val="0"/>
          <w:noProof/>
          <w:kern w:val="2"/>
          <w:szCs w:val="24"/>
          <w:lang w:val="es-GT" w:eastAsia="es-GT"/>
          <w14:ligatures w14:val="standardContextual"/>
        </w:rPr>
      </w:pPr>
      <w:hyperlink w:anchor="_Toc216797456" w:history="1">
        <w:r w:rsidRPr="001D5871">
          <w:rPr>
            <w:rStyle w:val="Hipervnculo"/>
            <w:noProof/>
            <w:color w:val="auto"/>
            <w:u w:val="none"/>
          </w:rPr>
          <w:t>Cuadro 30: Recuperaciones a favor de los Tarjetahabientes, enero a noviembre 2025</w:t>
        </w:r>
        <w:r>
          <w:rPr>
            <w:rStyle w:val="Hipervnculo"/>
            <w:i/>
            <w:noProof/>
            <w:color w:val="auto"/>
            <w:u w:val="none"/>
          </w:rPr>
          <w:tab/>
        </w:r>
        <w:r w:rsidRPr="001D5871">
          <w:rPr>
            <w:noProof/>
            <w:webHidden/>
          </w:rPr>
          <w:t xml:space="preserve"> </w:t>
        </w:r>
        <w:r w:rsidRPr="001D5871">
          <w:rPr>
            <w:noProof/>
            <w:webHidden/>
          </w:rPr>
          <w:fldChar w:fldCharType="begin"/>
        </w:r>
        <w:r w:rsidRPr="001D5871">
          <w:rPr>
            <w:noProof/>
            <w:webHidden/>
          </w:rPr>
          <w:instrText xml:space="preserve"> PAGEREF _Toc216797456 \h </w:instrText>
        </w:r>
        <w:r w:rsidRPr="001D5871">
          <w:rPr>
            <w:noProof/>
            <w:webHidden/>
          </w:rPr>
        </w:r>
        <w:r w:rsidRPr="001D5871"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29</w:t>
        </w:r>
        <w:r w:rsidRPr="001D5871">
          <w:rPr>
            <w:noProof/>
            <w:webHidden/>
          </w:rPr>
          <w:fldChar w:fldCharType="end"/>
        </w:r>
      </w:hyperlink>
    </w:p>
    <w:p w14:paraId="312F98D2" w14:textId="365376A1" w:rsidR="008436AB" w:rsidRPr="00E94BF6" w:rsidRDefault="00E94BF6" w:rsidP="00E94BF6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D5871">
        <w:rPr>
          <w:rFonts w:ascii="Times New Roman" w:hAnsi="Times New Roman" w:cs="Times New Roman"/>
          <w:bCs/>
          <w:sz w:val="22"/>
          <w:szCs w:val="22"/>
        </w:rPr>
        <w:fldChar w:fldCharType="end"/>
      </w:r>
    </w:p>
    <w:p w14:paraId="0A937DD7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1A2A6145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1149F7E5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708DEEC5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0016ADA2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562B3AB3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3355EF25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392C3C4F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6B049C8B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48B7DE32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6EFDE6F5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0C035BA2" w14:textId="77777777" w:rsidR="001D5871" w:rsidRDefault="001D5871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</w:p>
    <w:p w14:paraId="2CD0B6AA" w14:textId="1D922E35" w:rsidR="00B80992" w:rsidRPr="00795387" w:rsidRDefault="001D3E3D" w:rsidP="00795387">
      <w:pPr>
        <w:rPr>
          <w:rFonts w:ascii="Times New Roman" w:hAnsi="Times New Roman" w:cs="Times New Roman"/>
          <w:b/>
          <w:bCs/>
          <w:color w:val="002060"/>
          <w:sz w:val="22"/>
          <w:szCs w:val="22"/>
        </w:rPr>
      </w:pPr>
      <w:r w:rsidRPr="00795387">
        <w:rPr>
          <w:rFonts w:ascii="Times New Roman" w:hAnsi="Times New Roman" w:cs="Times New Roman"/>
          <w:b/>
          <w:bCs/>
          <w:color w:val="002060"/>
          <w:sz w:val="22"/>
          <w:szCs w:val="22"/>
        </w:rPr>
        <w:t>GRAFICAS</w:t>
      </w:r>
    </w:p>
    <w:p w14:paraId="2AFEB3D2" w14:textId="77777777" w:rsidR="004F4B95" w:rsidRPr="008436AB" w:rsidRDefault="004F4B95" w:rsidP="001D3E3D">
      <w:pPr>
        <w:pStyle w:val="Graficas"/>
        <w:rPr>
          <w:rFonts w:cs="Times New Roman"/>
          <w:sz w:val="22"/>
          <w:szCs w:val="22"/>
        </w:rPr>
      </w:pPr>
    </w:p>
    <w:p w14:paraId="1DCDD904" w14:textId="220D140C" w:rsidR="00241E4B" w:rsidRDefault="00241E4B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val="es-GT" w:eastAsia="es-GT"/>
          <w14:ligatures w14:val="standardContextual"/>
        </w:rPr>
      </w:pPr>
      <w:r>
        <w:rPr>
          <w:rFonts w:cs="Times New Roman"/>
          <w:lang w:val="es-GT"/>
        </w:rPr>
        <w:fldChar w:fldCharType="begin"/>
      </w:r>
      <w:r>
        <w:rPr>
          <w:rFonts w:cs="Times New Roman"/>
          <w:lang w:val="es-GT"/>
        </w:rPr>
        <w:instrText xml:space="preserve"> TOC \h \z \t "Graficas;1" \c "Tabla" </w:instrText>
      </w:r>
      <w:r>
        <w:rPr>
          <w:rFonts w:cs="Times New Roman"/>
          <w:lang w:val="es-GT"/>
        </w:rPr>
        <w:fldChar w:fldCharType="separate"/>
      </w:r>
      <w:hyperlink w:anchor="_Toc216800259" w:history="1">
        <w:r w:rsidRPr="00441758">
          <w:rPr>
            <w:rStyle w:val="Hipervnculo"/>
            <w:noProof/>
          </w:rPr>
          <w:t>Gráfico 1: Atención y Resolución de Quejas, enero – noviembre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_Toc216800259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0B35B5" w14:textId="6A8C89C9" w:rsidR="00241E4B" w:rsidRDefault="00241E4B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val="es-GT" w:eastAsia="es-GT"/>
          <w14:ligatures w14:val="standardContextual"/>
        </w:rPr>
      </w:pPr>
      <w:hyperlink w:anchor="_Toc216800260" w:history="1">
        <w:r w:rsidRPr="00441758">
          <w:rPr>
            <w:rStyle w:val="Hipervnculo"/>
            <w:noProof/>
          </w:rPr>
          <w:t>Gráfico 2: Montos Recuperados a Favor de los Consumidores, Usuarios y Tarjetahabientes, enero- noviembre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_Toc216800260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21856FE" w14:textId="7E8BCAC2" w:rsidR="00241E4B" w:rsidRDefault="00241E4B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 w:cstheme="minorBidi"/>
          <w:iCs w:val="0"/>
          <w:noProof/>
          <w:kern w:val="2"/>
          <w:sz w:val="24"/>
          <w:szCs w:val="24"/>
          <w:lang w:val="es-GT" w:eastAsia="es-GT"/>
          <w14:ligatures w14:val="standardContextual"/>
        </w:rPr>
      </w:pPr>
      <w:hyperlink w:anchor="_Toc216800261" w:history="1">
        <w:r w:rsidRPr="00441758">
          <w:rPr>
            <w:rStyle w:val="Hipervnculo"/>
            <w:noProof/>
          </w:rPr>
          <w:t>Gráfico 3: Libros Autorizados, Recepción de Expedientes de Contratos de Adhesión e Instrumentos de Medición y Pesaje, enero-noviembre 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_Toc216800261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05CEA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CB0996F" w14:textId="6ACE1A06" w:rsidR="00B80992" w:rsidRDefault="00241E4B" w:rsidP="00A74EC7">
      <w:pPr>
        <w:pStyle w:val="Graficas"/>
        <w:rPr>
          <w:lang w:val="es-GT"/>
        </w:rPr>
      </w:pPr>
      <w:r>
        <w:rPr>
          <w:rFonts w:cs="Times New Roman"/>
          <w:sz w:val="22"/>
          <w:szCs w:val="20"/>
          <w:lang w:val="es-GT" w:eastAsia="en-US"/>
        </w:rPr>
        <w:fldChar w:fldCharType="end"/>
      </w:r>
    </w:p>
    <w:p w14:paraId="015BA620" w14:textId="1359D67D" w:rsidR="00B80992" w:rsidRDefault="001D5871" w:rsidP="001D5871">
      <w:pPr>
        <w:tabs>
          <w:tab w:val="left" w:pos="2439"/>
        </w:tabs>
        <w:rPr>
          <w:lang w:val="es-GT" w:eastAsia="es-MX"/>
        </w:rPr>
      </w:pPr>
      <w:r>
        <w:rPr>
          <w:lang w:val="es-GT" w:eastAsia="es-MX"/>
        </w:rPr>
        <w:tab/>
      </w:r>
    </w:p>
    <w:p w14:paraId="201F1539" w14:textId="637DDD0C" w:rsidR="00B80992" w:rsidRDefault="00B80992" w:rsidP="00CF3738">
      <w:pPr>
        <w:rPr>
          <w:lang w:val="es-GT" w:eastAsia="es-MX"/>
        </w:rPr>
      </w:pPr>
    </w:p>
    <w:p w14:paraId="6E95F36E" w14:textId="09A8B1DC" w:rsidR="00B80992" w:rsidRDefault="00B80992" w:rsidP="00CF3738">
      <w:pPr>
        <w:rPr>
          <w:lang w:val="es-GT" w:eastAsia="es-MX"/>
        </w:rPr>
      </w:pPr>
    </w:p>
    <w:p w14:paraId="27BBF1CE" w14:textId="70383E1B" w:rsidR="00B80992" w:rsidRDefault="00B80992" w:rsidP="00CF3738">
      <w:pPr>
        <w:rPr>
          <w:lang w:val="es-GT" w:eastAsia="es-MX"/>
        </w:rPr>
      </w:pPr>
    </w:p>
    <w:p w14:paraId="38B37C95" w14:textId="58BF33D3" w:rsidR="00B80992" w:rsidRDefault="00B80992" w:rsidP="00CF3738">
      <w:pPr>
        <w:rPr>
          <w:lang w:val="es-GT" w:eastAsia="es-MX"/>
        </w:rPr>
      </w:pPr>
    </w:p>
    <w:p w14:paraId="3A33FB5F" w14:textId="773F3D8E" w:rsidR="00B80992" w:rsidRDefault="00B80992" w:rsidP="00CF3738">
      <w:pPr>
        <w:rPr>
          <w:lang w:val="es-GT" w:eastAsia="es-MX"/>
        </w:rPr>
      </w:pPr>
    </w:p>
    <w:p w14:paraId="50296CD1" w14:textId="60406E0F" w:rsidR="00B80992" w:rsidRDefault="00B80992" w:rsidP="00CF3738">
      <w:pPr>
        <w:rPr>
          <w:lang w:val="es-GT" w:eastAsia="es-MX"/>
        </w:rPr>
      </w:pPr>
    </w:p>
    <w:p w14:paraId="22CB1104" w14:textId="63587894" w:rsidR="00B80992" w:rsidRDefault="00B80992" w:rsidP="00CF3738">
      <w:pPr>
        <w:rPr>
          <w:lang w:val="es-GT" w:eastAsia="es-MX"/>
        </w:rPr>
      </w:pPr>
    </w:p>
    <w:p w14:paraId="5416B376" w14:textId="05EF8CB7" w:rsidR="00B80992" w:rsidRDefault="00B80992" w:rsidP="00CF3738">
      <w:pPr>
        <w:rPr>
          <w:lang w:val="es-GT" w:eastAsia="es-MX"/>
        </w:rPr>
      </w:pPr>
    </w:p>
    <w:p w14:paraId="51F5E999" w14:textId="620F775C" w:rsidR="00B80992" w:rsidRDefault="00B80992" w:rsidP="00CF3738">
      <w:pPr>
        <w:rPr>
          <w:lang w:val="es-GT" w:eastAsia="es-MX"/>
        </w:rPr>
      </w:pPr>
    </w:p>
    <w:p w14:paraId="0662EA07" w14:textId="1BB8CDB6" w:rsidR="00B80992" w:rsidRDefault="00B80992" w:rsidP="00CF3738">
      <w:pPr>
        <w:rPr>
          <w:lang w:val="es-GT" w:eastAsia="es-MX"/>
        </w:rPr>
      </w:pPr>
    </w:p>
    <w:p w14:paraId="1BB87751" w14:textId="0EC61ABF" w:rsidR="00B80992" w:rsidRDefault="00B80992" w:rsidP="00CF3738">
      <w:pPr>
        <w:rPr>
          <w:lang w:val="es-GT" w:eastAsia="es-MX"/>
        </w:rPr>
      </w:pPr>
    </w:p>
    <w:p w14:paraId="60FCCD54" w14:textId="5D5DF557" w:rsidR="00B80992" w:rsidRDefault="00B80992" w:rsidP="00CF3738">
      <w:pPr>
        <w:rPr>
          <w:lang w:val="es-GT" w:eastAsia="es-MX"/>
        </w:rPr>
      </w:pPr>
    </w:p>
    <w:p w14:paraId="789A0509" w14:textId="47C022D4" w:rsidR="00B80992" w:rsidRDefault="00B80992" w:rsidP="00CF3738">
      <w:pPr>
        <w:rPr>
          <w:lang w:val="es-GT" w:eastAsia="es-MX"/>
        </w:rPr>
      </w:pPr>
    </w:p>
    <w:p w14:paraId="310502E5" w14:textId="284CE9E7" w:rsidR="00B80992" w:rsidRDefault="00B80992" w:rsidP="00CF3738">
      <w:pPr>
        <w:rPr>
          <w:lang w:val="es-GT" w:eastAsia="es-MX"/>
        </w:rPr>
      </w:pPr>
    </w:p>
    <w:p w14:paraId="29B60D2C" w14:textId="08453FD8" w:rsidR="00B80992" w:rsidRDefault="00B80992" w:rsidP="00CF3738">
      <w:pPr>
        <w:rPr>
          <w:lang w:val="es-GT" w:eastAsia="es-MX"/>
        </w:rPr>
      </w:pPr>
    </w:p>
    <w:p w14:paraId="63AEF44E" w14:textId="49DF4AAF" w:rsidR="004F4B95" w:rsidRDefault="004F4B95" w:rsidP="00CF3738">
      <w:pPr>
        <w:rPr>
          <w:lang w:val="es-GT" w:eastAsia="es-MX"/>
        </w:rPr>
      </w:pPr>
    </w:p>
    <w:p w14:paraId="164104C7" w14:textId="5760FAAB" w:rsidR="004F4B95" w:rsidRDefault="004F4B95" w:rsidP="00CF3738">
      <w:pPr>
        <w:rPr>
          <w:lang w:val="es-GT" w:eastAsia="es-MX"/>
        </w:rPr>
      </w:pPr>
    </w:p>
    <w:p w14:paraId="3E7D4AB0" w14:textId="67A7103C" w:rsidR="004F4B95" w:rsidRDefault="004F4B95" w:rsidP="00CF3738">
      <w:pPr>
        <w:rPr>
          <w:lang w:val="es-GT" w:eastAsia="es-MX"/>
        </w:rPr>
      </w:pPr>
    </w:p>
    <w:p w14:paraId="0F26C6E2" w14:textId="5DA893F5" w:rsidR="004F4B95" w:rsidRDefault="004F4B95" w:rsidP="00CF3738">
      <w:pPr>
        <w:rPr>
          <w:lang w:val="es-GT" w:eastAsia="es-MX"/>
        </w:rPr>
      </w:pPr>
    </w:p>
    <w:p w14:paraId="2740FF43" w14:textId="038D7E57" w:rsidR="004F4B95" w:rsidRDefault="004F4B95" w:rsidP="00CF3738">
      <w:pPr>
        <w:rPr>
          <w:lang w:val="es-GT" w:eastAsia="es-MX"/>
        </w:rPr>
      </w:pPr>
    </w:p>
    <w:p w14:paraId="663490A4" w14:textId="099DD6E5" w:rsidR="004F4B95" w:rsidRDefault="004F4B95" w:rsidP="00CF3738">
      <w:pPr>
        <w:rPr>
          <w:lang w:val="es-GT" w:eastAsia="es-MX"/>
        </w:rPr>
      </w:pPr>
    </w:p>
    <w:p w14:paraId="0749D793" w14:textId="36DFE7B6" w:rsidR="004F4B95" w:rsidRDefault="004F4B95" w:rsidP="00CF3738">
      <w:pPr>
        <w:rPr>
          <w:lang w:val="es-GT" w:eastAsia="es-MX"/>
        </w:rPr>
      </w:pPr>
    </w:p>
    <w:p w14:paraId="46C90BA1" w14:textId="29D00983" w:rsidR="004F4B95" w:rsidRDefault="004F4B95" w:rsidP="00CF3738">
      <w:pPr>
        <w:rPr>
          <w:lang w:val="es-GT" w:eastAsia="es-MX"/>
        </w:rPr>
      </w:pPr>
    </w:p>
    <w:p w14:paraId="2D09C141" w14:textId="6A47AC35" w:rsidR="004F4B95" w:rsidRDefault="004F4B95" w:rsidP="00CF3738">
      <w:pPr>
        <w:rPr>
          <w:lang w:val="es-GT" w:eastAsia="es-MX"/>
        </w:rPr>
      </w:pPr>
    </w:p>
    <w:p w14:paraId="5AA66609" w14:textId="3CA55FFB" w:rsidR="004F4B95" w:rsidRDefault="004F4B95" w:rsidP="00CF3738">
      <w:pPr>
        <w:rPr>
          <w:lang w:val="es-GT" w:eastAsia="es-MX"/>
        </w:rPr>
      </w:pPr>
    </w:p>
    <w:p w14:paraId="2F5FEB90" w14:textId="0DDCC2D1" w:rsidR="004F4B95" w:rsidRDefault="004F4B95" w:rsidP="00CF3738">
      <w:pPr>
        <w:rPr>
          <w:lang w:val="es-GT" w:eastAsia="es-MX"/>
        </w:rPr>
      </w:pPr>
    </w:p>
    <w:p w14:paraId="692A74AF" w14:textId="77777777" w:rsidR="004F4B95" w:rsidRDefault="004F4B95" w:rsidP="00CF3738">
      <w:pPr>
        <w:rPr>
          <w:lang w:val="es-GT" w:eastAsia="es-MX"/>
        </w:rPr>
      </w:pPr>
    </w:p>
    <w:p w14:paraId="2E9451F0" w14:textId="33015CDE" w:rsidR="00795387" w:rsidRDefault="00795387">
      <w:pPr>
        <w:rPr>
          <w:lang w:val="es-GT" w:eastAsia="es-MX"/>
        </w:rPr>
      </w:pPr>
      <w:r>
        <w:rPr>
          <w:lang w:val="es-GT" w:eastAsia="es-MX"/>
        </w:rPr>
        <w:br w:type="page"/>
      </w:r>
    </w:p>
    <w:p w14:paraId="56547CB3" w14:textId="77777777" w:rsidR="00B80992" w:rsidRDefault="00B80992" w:rsidP="00CF3738">
      <w:pPr>
        <w:rPr>
          <w:lang w:val="es-GT" w:eastAsia="es-MX"/>
        </w:rPr>
      </w:pPr>
    </w:p>
    <w:p w14:paraId="0A1A7624" w14:textId="77777777" w:rsidR="00795387" w:rsidRDefault="00795387" w:rsidP="00CF3738">
      <w:pPr>
        <w:rPr>
          <w:lang w:val="es-GT" w:eastAsia="es-MX"/>
        </w:rPr>
      </w:pPr>
    </w:p>
    <w:p w14:paraId="1BBC93AB" w14:textId="6A348E20" w:rsidR="002B1F6F" w:rsidRPr="007508C7" w:rsidRDefault="002B1F6F" w:rsidP="007508C7">
      <w:pPr>
        <w:pStyle w:val="Ttulo1"/>
      </w:pPr>
      <w:bookmarkStart w:id="0" w:name="_Toc216788736"/>
      <w:r w:rsidRPr="007508C7">
        <w:t>Recepción de Quejas por Actividad Económica</w:t>
      </w:r>
      <w:bookmarkEnd w:id="0"/>
    </w:p>
    <w:p w14:paraId="2C79DAAB" w14:textId="2E2C0929" w:rsidR="002B1F6F" w:rsidRPr="00FA0403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4FB9D6C5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Durante el mes se recibieron </w:t>
      </w:r>
      <w:r w:rsidR="00EE7FAA" w:rsidRPr="00FA0403">
        <w:rPr>
          <w:rFonts w:ascii="Times New Roman" w:hAnsi="Times New Roman" w:cs="Times New Roman"/>
          <w:sz w:val="22"/>
          <w:szCs w:val="22"/>
        </w:rPr>
        <w:t>999</w:t>
      </w:r>
      <w:r w:rsidR="008B343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quejas, correspondientes a diversas actividades económicas, de las quejas presentadas</w:t>
      </w:r>
      <w:r w:rsidR="00B35E3C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el </w:t>
      </w:r>
      <w:r w:rsidR="00EE7FAA" w:rsidRPr="00FA0403">
        <w:rPr>
          <w:rFonts w:ascii="Times New Roman" w:hAnsi="Times New Roman" w:cs="Times New Roman"/>
          <w:sz w:val="22"/>
          <w:szCs w:val="22"/>
        </w:rPr>
        <w:t>41</w:t>
      </w:r>
      <w:r w:rsidR="00952E7F" w:rsidRPr="00FA0403">
        <w:rPr>
          <w:rFonts w:ascii="Times New Roman" w:hAnsi="Times New Roman" w:cs="Times New Roman"/>
          <w:sz w:val="22"/>
          <w:szCs w:val="22"/>
        </w:rPr>
        <w:t xml:space="preserve">% por actividades financieras y de seguros; el </w:t>
      </w:r>
      <w:r w:rsidR="00EC260A" w:rsidRPr="00FA0403">
        <w:rPr>
          <w:rFonts w:ascii="Times New Roman" w:hAnsi="Times New Roman" w:cs="Times New Roman"/>
          <w:sz w:val="22"/>
          <w:szCs w:val="22"/>
        </w:rPr>
        <w:t>3</w:t>
      </w:r>
      <w:r w:rsidR="00EE7FAA" w:rsidRPr="00FA0403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% fueron </w:t>
      </w:r>
      <w:r w:rsidR="00812842" w:rsidRPr="00FA0403">
        <w:rPr>
          <w:rFonts w:ascii="Times New Roman" w:hAnsi="Times New Roman" w:cs="Times New Roman"/>
          <w:sz w:val="22"/>
          <w:szCs w:val="22"/>
        </w:rPr>
        <w:t>por Comercio al por mayor y al por menor; reparación de vehículos automotores y motocicletas</w:t>
      </w:r>
      <w:r w:rsidRPr="00FA0403">
        <w:rPr>
          <w:rFonts w:ascii="Times New Roman" w:hAnsi="Times New Roman" w:cs="Times New Roman"/>
          <w:sz w:val="22"/>
          <w:szCs w:val="22"/>
        </w:rPr>
        <w:t xml:space="preserve">; el </w:t>
      </w:r>
      <w:r w:rsidR="00EE7FAA" w:rsidRPr="00FA0403">
        <w:rPr>
          <w:rFonts w:ascii="Times New Roman" w:hAnsi="Times New Roman" w:cs="Times New Roman"/>
          <w:sz w:val="22"/>
          <w:szCs w:val="22"/>
        </w:rPr>
        <w:t>4</w:t>
      </w:r>
      <w:r w:rsidRPr="00FA0403">
        <w:rPr>
          <w:rFonts w:ascii="Times New Roman" w:hAnsi="Times New Roman" w:cs="Times New Roman"/>
          <w:sz w:val="22"/>
          <w:szCs w:val="22"/>
        </w:rPr>
        <w:t xml:space="preserve">% </w:t>
      </w:r>
      <w:r w:rsidR="00352D39" w:rsidRPr="00FA0403">
        <w:rPr>
          <w:rFonts w:ascii="Times New Roman" w:hAnsi="Times New Roman" w:cs="Times New Roman"/>
          <w:sz w:val="22"/>
          <w:szCs w:val="22"/>
        </w:rPr>
        <w:t>por</w:t>
      </w:r>
      <w:r w:rsidR="00DB7BD9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E7FAA" w:rsidRPr="00FA0403">
        <w:rPr>
          <w:rFonts w:ascii="Times New Roman" w:hAnsi="Times New Roman" w:cs="Times New Roman"/>
          <w:sz w:val="22"/>
          <w:szCs w:val="22"/>
        </w:rPr>
        <w:t>Información y Comunicaciones</w:t>
      </w:r>
      <w:r w:rsidR="00550CF1" w:rsidRPr="00FA0403">
        <w:rPr>
          <w:rFonts w:ascii="Times New Roman" w:hAnsi="Times New Roman" w:cs="Times New Roman"/>
          <w:sz w:val="22"/>
          <w:szCs w:val="22"/>
        </w:rPr>
        <w:t xml:space="preserve">; </w:t>
      </w:r>
      <w:r w:rsidR="00534F63" w:rsidRPr="00FA0403">
        <w:rPr>
          <w:rFonts w:ascii="Times New Roman" w:hAnsi="Times New Roman" w:cs="Times New Roman"/>
          <w:sz w:val="22"/>
          <w:szCs w:val="22"/>
        </w:rPr>
        <w:t xml:space="preserve">y el </w:t>
      </w:r>
      <w:r w:rsidR="004E231F" w:rsidRPr="00FA0403">
        <w:rPr>
          <w:rFonts w:ascii="Times New Roman" w:hAnsi="Times New Roman" w:cs="Times New Roman"/>
          <w:sz w:val="22"/>
          <w:szCs w:val="22"/>
        </w:rPr>
        <w:t>1</w:t>
      </w:r>
      <w:r w:rsidR="00EE7FAA" w:rsidRPr="00FA0403">
        <w:rPr>
          <w:rFonts w:ascii="Times New Roman" w:hAnsi="Times New Roman" w:cs="Times New Roman"/>
          <w:sz w:val="22"/>
          <w:szCs w:val="22"/>
        </w:rPr>
        <w:t>6</w:t>
      </w:r>
      <w:r w:rsidR="00534F63" w:rsidRPr="00FA0403">
        <w:rPr>
          <w:rFonts w:ascii="Times New Roman" w:hAnsi="Times New Roman" w:cs="Times New Roman"/>
          <w:sz w:val="22"/>
          <w:szCs w:val="22"/>
        </w:rPr>
        <w:t>% por otras actividades económicas</w:t>
      </w:r>
      <w:r w:rsidR="00D04CB6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como se puede apreciar en el cuadro siguiente:</w:t>
      </w:r>
    </w:p>
    <w:p w14:paraId="0E253DD1" w14:textId="77777777" w:rsidR="00F07B9F" w:rsidRDefault="00F07B9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F4DA89" w14:textId="6C99425B" w:rsidR="004530BE" w:rsidRPr="00590048" w:rsidRDefault="002B1F6F" w:rsidP="00590048">
      <w:pPr>
        <w:pStyle w:val="Tablas"/>
      </w:pPr>
      <w:bookmarkStart w:id="1" w:name="_Toc216797427"/>
      <w:r w:rsidRPr="00590048">
        <w:t>Cuadro 1</w:t>
      </w:r>
      <w:r w:rsidR="00726F5C" w:rsidRPr="00590048">
        <w:t xml:space="preserve">: </w:t>
      </w:r>
      <w:r w:rsidRPr="00590048">
        <w:t>Recepción de Quejas</w:t>
      </w:r>
      <w:r w:rsidR="007508C7" w:rsidRPr="00590048">
        <w:t xml:space="preserve">, </w:t>
      </w:r>
      <w:r w:rsidR="00614BF5" w:rsidRPr="00590048">
        <w:t>noviembre</w:t>
      </w:r>
      <w:r w:rsidR="004530BE" w:rsidRPr="00590048">
        <w:t xml:space="preserve"> 2025</w:t>
      </w:r>
      <w:bookmarkEnd w:id="1"/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864"/>
        <w:gridCol w:w="918"/>
        <w:gridCol w:w="1022"/>
        <w:gridCol w:w="1022"/>
        <w:gridCol w:w="1089"/>
      </w:tblGrid>
      <w:tr w:rsidR="009C3842" w:rsidRPr="00FA0403" w14:paraId="67B8D678" w14:textId="77777777" w:rsidTr="00614BF5">
        <w:trPr>
          <w:trHeight w:val="340"/>
          <w:tblHeader/>
        </w:trPr>
        <w:tc>
          <w:tcPr>
            <w:tcW w:w="260" w:type="pct"/>
            <w:shd w:val="clear" w:color="auto" w:fill="8EAADB" w:themeFill="accent1" w:themeFillTint="99"/>
            <w:noWrap/>
            <w:vAlign w:val="center"/>
            <w:hideMark/>
          </w:tcPr>
          <w:p w14:paraId="75BD18E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bookmarkStart w:id="2" w:name="_Hlk168317379"/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2586" w:type="pct"/>
            <w:shd w:val="clear" w:color="auto" w:fill="8EAADB" w:themeFill="accent1" w:themeFillTint="99"/>
            <w:noWrap/>
            <w:vAlign w:val="center"/>
            <w:hideMark/>
          </w:tcPr>
          <w:p w14:paraId="727094F4" w14:textId="4D079AA2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</w:t>
            </w:r>
            <w:r w:rsidR="00AE6EE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Ó</w:t>
            </w: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</w:t>
            </w:r>
          </w:p>
        </w:tc>
        <w:tc>
          <w:tcPr>
            <w:tcW w:w="600" w:type="pct"/>
            <w:shd w:val="clear" w:color="auto" w:fill="8EAADB" w:themeFill="accent1" w:themeFillTint="99"/>
            <w:vAlign w:val="center"/>
            <w:hideMark/>
          </w:tcPr>
          <w:p w14:paraId="640F4269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600" w:type="pct"/>
            <w:shd w:val="clear" w:color="auto" w:fill="8EAADB" w:themeFill="accent1" w:themeFillTint="99"/>
            <w:vAlign w:val="center"/>
            <w:hideMark/>
          </w:tcPr>
          <w:p w14:paraId="38739408" w14:textId="21662B29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SEDES D</w:t>
            </w:r>
            <w:r w:rsidR="00A6287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PTOS.</w:t>
            </w:r>
          </w:p>
        </w:tc>
        <w:tc>
          <w:tcPr>
            <w:tcW w:w="600" w:type="pct"/>
            <w:shd w:val="clear" w:color="auto" w:fill="8EAADB" w:themeFill="accent1" w:themeFillTint="99"/>
            <w:vAlign w:val="center"/>
            <w:hideMark/>
          </w:tcPr>
          <w:p w14:paraId="4502C13C" w14:textId="6395E52A" w:rsidR="00FA0403" w:rsidRPr="00FA0403" w:rsidRDefault="00CC0E01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TOTAL,</w:t>
            </w:r>
            <w:r w:rsidR="00FA0403"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600" w:type="pct"/>
            <w:shd w:val="clear" w:color="auto" w:fill="8EAADB" w:themeFill="accent1" w:themeFillTint="99"/>
            <w:vAlign w:val="center"/>
            <w:hideMark/>
          </w:tcPr>
          <w:p w14:paraId="15BBFBD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9C3842" w:rsidRPr="00FA0403" w14:paraId="1C2A5388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3908AD5C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1CEF6E40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865603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4283AED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6696AFE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53A646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FA0403" w14:paraId="7EB5C57C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ED33DE8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8FABB49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Energía eléctrica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5EF965E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3686C7D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816D72C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F496BB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FA0403" w14:paraId="047ADD7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E6611DF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4CC85A2C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Combustible 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D3832BC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FFF2D9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B84C4C8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F7E1F1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7DA5F446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88EF598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1F70C07B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Distribución de Gas Licuado de Petróleo -GLP-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394F6B1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4C8AD2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1A6BA1B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43E85F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7E4D8748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62990D53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24A11893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33876B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82E8CD1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CDCF4F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3AE3C5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FA0403" w14:paraId="284A5F56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F4BBF7A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17FDA1EF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Municipal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83A15F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76A14F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BB2954D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D16A1CF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202288D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838379D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FBA65EA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Agua Privada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CE4A0B8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9F67D1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02A022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6A12C04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FA0403" w14:paraId="4336067C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67E895D1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60C85A7A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Inmobiliarias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143D536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25738C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729308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237D6BE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FA0403" w14:paraId="41A314C3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AA3A1E9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2586" w:type="pct"/>
            <w:shd w:val="clear" w:color="auto" w:fill="auto"/>
            <w:noWrap/>
            <w:vAlign w:val="bottom"/>
            <w:hideMark/>
          </w:tcPr>
          <w:p w14:paraId="42871979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Inmobiliarias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3E908C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E02A19F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5FF16BF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61869E4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FA0403" w14:paraId="0098E7E4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28605AE0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138B1BA5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AB03B5E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341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5E2685B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45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49CA316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386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CD69ED9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39%</w:t>
            </w:r>
          </w:p>
        </w:tc>
      </w:tr>
      <w:tr w:rsidR="009C3842" w:rsidRPr="00FA0403" w14:paraId="104B2F4E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504CF74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4973C68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Comercio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8F527A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FFED8E4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36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ED39338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331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5C3B6DE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33%</w:t>
            </w:r>
          </w:p>
        </w:tc>
      </w:tr>
      <w:tr w:rsidR="009C3842" w:rsidRPr="00FA0403" w14:paraId="107FD432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F626FD8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6E698742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Almacenes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176EE5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AA2EACF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716C13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EFE6544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9C3842" w:rsidRPr="00FA0403" w14:paraId="223C00B7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2FC4A9F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73C78209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Talleres de mecánica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7D49006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A620A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3F84C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FD5A586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73009F0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2F429B2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4.4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1BF07ADE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Venta de productos farmacéuticos y medicinales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3A64B05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D98FDBF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14B56D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24F3066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742A44CA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79E1E360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69DCC23F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Transporte y almacenamiento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514EC2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1EB3E138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5D3E766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D612DE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FA0403" w14:paraId="6549E4C6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49DE5BB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08830397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urbano y extraurbano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52D645D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9701994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C921BC8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C40996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FA0403" w14:paraId="1B7C453A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EDA7065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7D16C52E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vía aérea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D976487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3F881C2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F96CCE9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73FF3E3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FA0403" w14:paraId="7E50B073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09787BEB" w14:textId="77777777" w:rsidR="00FA0403" w:rsidRPr="00CA3F5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6E36A289" w14:textId="77777777" w:rsidR="00FA0403" w:rsidRPr="00CA3F53" w:rsidRDefault="00FA0403" w:rsidP="00FA040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Transporte de mensajería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1065C81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C1788B9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E4DC1A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FDCA271" w14:textId="77777777" w:rsidR="00FA0403" w:rsidRPr="00FA0403" w:rsidRDefault="00FA0403" w:rsidP="00FA04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04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7FC5C084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266FEB4C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2EA27EC7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alojamiento y de servicio de comidas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AE66CA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4E37D7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651118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F1B277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7F6B7535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0778276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63D4C21B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Hotelería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4276C7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78BED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E3EEF9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F7A3C6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215EFBE3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87C6AE3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381D7163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Restaurantes y otros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C93C48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BE70F3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A3E7B5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A0F208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546CFECD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53F1F314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04072847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Información y comunicaciones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1A0CF6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140C72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1D251A3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36C14F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4%</w:t>
            </w:r>
          </w:p>
        </w:tc>
      </w:tr>
      <w:tr w:rsidR="009C3842" w:rsidRPr="004530BE" w14:paraId="1977676F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477EBB7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7.1</w:t>
            </w:r>
          </w:p>
        </w:tc>
        <w:tc>
          <w:tcPr>
            <w:tcW w:w="2586" w:type="pct"/>
            <w:shd w:val="clear" w:color="auto" w:fill="auto"/>
            <w:noWrap/>
            <w:vAlign w:val="bottom"/>
            <w:hideMark/>
          </w:tcPr>
          <w:p w14:paraId="379AC53D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Telefonía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78D957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AAF98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334667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C4BF80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9C3842" w:rsidRPr="004530BE" w14:paraId="200C4FA3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4C7D1F6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7.2</w:t>
            </w:r>
          </w:p>
        </w:tc>
        <w:tc>
          <w:tcPr>
            <w:tcW w:w="2586" w:type="pct"/>
            <w:shd w:val="clear" w:color="auto" w:fill="auto"/>
            <w:noWrap/>
            <w:vAlign w:val="bottom"/>
            <w:hideMark/>
          </w:tcPr>
          <w:p w14:paraId="50CE8C87" w14:textId="18056F9E" w:rsidR="007C5611" w:rsidRPr="00CA3F53" w:rsidRDefault="009A5EF8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</w:t>
            </w:r>
            <w:r w:rsidR="007C5611"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 cable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EF1FFC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4EEE60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BFBD89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AFD85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07A5402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357F09E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7.3</w:t>
            </w:r>
          </w:p>
        </w:tc>
        <w:tc>
          <w:tcPr>
            <w:tcW w:w="2586" w:type="pct"/>
            <w:shd w:val="clear" w:color="auto" w:fill="auto"/>
            <w:noWrap/>
            <w:vAlign w:val="bottom"/>
            <w:hideMark/>
          </w:tcPr>
          <w:p w14:paraId="2FB68D0E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Servicio de internet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94E19A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43A9454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65915A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29FCDC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37EC31EF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699AE63E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767FBCB3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financieras y de seguros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1D77199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389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D1E55C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FCE9B6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411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42C70B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41%</w:t>
            </w:r>
          </w:p>
        </w:tc>
      </w:tr>
      <w:tr w:rsidR="009C3842" w:rsidRPr="004530BE" w14:paraId="5BE640AD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B446C6C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0B0059D5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Bancos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82F7C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667638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7613524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76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740616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8%</w:t>
            </w:r>
          </w:p>
        </w:tc>
      </w:tr>
      <w:tr w:rsidR="009C3842" w:rsidRPr="004530BE" w14:paraId="6B8B2780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B4C21E3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2BCD0AB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Seguros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9DE35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42896A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427F75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C4844F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1EBFB2D4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4773CEE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7D6951CC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C73E90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309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5C0B84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6AF8E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322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BDB7FB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32%</w:t>
            </w:r>
          </w:p>
        </w:tc>
      </w:tr>
      <w:tr w:rsidR="009C3842" w:rsidRPr="004530BE" w14:paraId="5F35C4B2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3B3C2198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2586" w:type="pct"/>
            <w:shd w:val="clear" w:color="000000" w:fill="D9D9D9"/>
            <w:noWrap/>
            <w:vAlign w:val="center"/>
            <w:hideMark/>
          </w:tcPr>
          <w:p w14:paraId="0CE18F00" w14:textId="6C6F3C79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</w:t>
            </w:r>
            <w:r w:rsidR="009A5EF8"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</w:t>
            </w: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s actividades de servicios financieros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4437B11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79295A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D83112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83548C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6233EC09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CC7C8AB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076A0019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892667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372DE7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8CC79C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767BFB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317DD9FD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CF2F39A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0F784F16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57EC77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BB6530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C9D167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7430B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10A8F78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4207BE7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D3E2137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38CFBB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2A1994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C825E6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06BBFC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0D7C72A0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D2CE5C3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9.4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7E773D02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F6C676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CC7564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6467BD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9091BC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0DA2F23A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7A460DDB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6C8E916D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46E010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B29475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9A20B5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89956C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6C2AD3F6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F335E0E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30AC27C3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77E342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FA3FE4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15FE86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762964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7DDCA6E3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1285D8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5BA58483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7D975A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C8335E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0B7953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DE5398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3E4BA3ED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14FB5CAC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0A1EFAA5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1823C5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C51E2D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4C78615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413C386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78F5F8CE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6DC87E5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0556635E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la administración pública en general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E2EB45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0C9210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F04146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A909D7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6A99F841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0F56EC7A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14BABEB1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B3252E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34A285F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59FB053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E04D63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678F2004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FD5C961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379B5A11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DDB111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82CAF0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5434E1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217010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1335F61D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8CC1550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485A926D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5B03CE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51C896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2D05CC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E84441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38EDED48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82F6764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6D9E2B49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7EF860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AF6AEB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4995DF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AB6FBF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0872DB8E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1AB4AADD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200BB39C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BF61A8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B65538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9419CB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1526B177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31954042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95D8857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54443C75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8D03FF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832394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9CB1C4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00882F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4EB0F3A0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5CEE77D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13.2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D937323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CB4DF8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1F11C4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9D5E95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E66895F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7F9D841C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57F3376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13.3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BE63D1D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3AC3562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2CC0C9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190C36E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4A3165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0CB694BA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58E22B51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77A4BA15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0583BAE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29A612C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32A19A1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6126131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67FB664A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5374485C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2F08D261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07BAEB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3EAE718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05B04F2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57DA2CF4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9C3842" w:rsidRPr="004530BE" w14:paraId="16DC041B" w14:textId="77777777" w:rsidTr="00614BF5">
        <w:trPr>
          <w:trHeight w:val="340"/>
        </w:trPr>
        <w:tc>
          <w:tcPr>
            <w:tcW w:w="260" w:type="pct"/>
            <w:shd w:val="clear" w:color="000000" w:fill="D9D9D9"/>
            <w:noWrap/>
            <w:vAlign w:val="center"/>
            <w:hideMark/>
          </w:tcPr>
          <w:p w14:paraId="32901EB8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2586" w:type="pct"/>
            <w:shd w:val="clear" w:color="000000" w:fill="D9D9D9"/>
            <w:vAlign w:val="center"/>
            <w:hideMark/>
          </w:tcPr>
          <w:p w14:paraId="5DF739A8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06BC070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0C283C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7146ED5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24</w:t>
            </w:r>
          </w:p>
        </w:tc>
        <w:tc>
          <w:tcPr>
            <w:tcW w:w="600" w:type="pct"/>
            <w:shd w:val="clear" w:color="000000" w:fill="D9D9D9"/>
            <w:noWrap/>
            <w:vAlign w:val="center"/>
            <w:hideMark/>
          </w:tcPr>
          <w:p w14:paraId="490D1B45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9C3842" w:rsidRPr="004530BE" w14:paraId="256856E0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19631B7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15.1</w:t>
            </w:r>
          </w:p>
        </w:tc>
        <w:tc>
          <w:tcPr>
            <w:tcW w:w="2586" w:type="pct"/>
            <w:shd w:val="clear" w:color="auto" w:fill="auto"/>
            <w:noWrap/>
            <w:vAlign w:val="center"/>
            <w:hideMark/>
          </w:tcPr>
          <w:p w14:paraId="49FDEBE8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D50067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215AFC4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4504E18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74D8EB3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500C402E" w14:textId="77777777" w:rsidTr="00614BF5">
        <w:trPr>
          <w:trHeight w:val="340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ED98DCB" w14:textId="77777777" w:rsidR="007C5611" w:rsidRPr="00CA3F53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15.2</w:t>
            </w:r>
          </w:p>
        </w:tc>
        <w:tc>
          <w:tcPr>
            <w:tcW w:w="2586" w:type="pct"/>
            <w:shd w:val="clear" w:color="auto" w:fill="auto"/>
            <w:vAlign w:val="center"/>
            <w:hideMark/>
          </w:tcPr>
          <w:p w14:paraId="6B2163FC" w14:textId="77777777" w:rsidR="007C5611" w:rsidRPr="00CA3F53" w:rsidRDefault="007C5611" w:rsidP="007C561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CA3F5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B05A012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21DAD78A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638B8C7E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14:paraId="7B99A2E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9C3842" w:rsidRPr="004530BE" w14:paraId="013E5877" w14:textId="77777777" w:rsidTr="00614BF5">
        <w:trPr>
          <w:trHeight w:val="340"/>
        </w:trPr>
        <w:tc>
          <w:tcPr>
            <w:tcW w:w="2847" w:type="pct"/>
            <w:gridSpan w:val="2"/>
            <w:shd w:val="clear" w:color="auto" w:fill="8EAADB" w:themeFill="accent1" w:themeFillTint="99"/>
            <w:vAlign w:val="center"/>
            <w:hideMark/>
          </w:tcPr>
          <w:p w14:paraId="0106F5B6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030D0829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901</w:t>
            </w:r>
          </w:p>
        </w:tc>
        <w:tc>
          <w:tcPr>
            <w:tcW w:w="600" w:type="pct"/>
            <w:shd w:val="clear" w:color="auto" w:fill="8EAADB" w:themeFill="accent1" w:themeFillTint="99"/>
            <w:noWrap/>
            <w:vAlign w:val="center"/>
            <w:hideMark/>
          </w:tcPr>
          <w:p w14:paraId="25FEB37C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98</w:t>
            </w:r>
          </w:p>
        </w:tc>
        <w:tc>
          <w:tcPr>
            <w:tcW w:w="600" w:type="pct"/>
            <w:shd w:val="clear" w:color="auto" w:fill="8EAADB" w:themeFill="accent1" w:themeFillTint="99"/>
            <w:noWrap/>
            <w:vAlign w:val="center"/>
            <w:hideMark/>
          </w:tcPr>
          <w:p w14:paraId="37386FED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999</w:t>
            </w:r>
          </w:p>
        </w:tc>
        <w:tc>
          <w:tcPr>
            <w:tcW w:w="571" w:type="pct"/>
            <w:shd w:val="clear" w:color="auto" w:fill="8EAADB" w:themeFill="accent1" w:themeFillTint="99"/>
            <w:noWrap/>
            <w:vAlign w:val="center"/>
            <w:hideMark/>
          </w:tcPr>
          <w:p w14:paraId="0B2ABA6B" w14:textId="77777777" w:rsidR="007C5611" w:rsidRPr="007C5611" w:rsidRDefault="007C5611" w:rsidP="007C56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7C5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100%</w:t>
            </w:r>
          </w:p>
        </w:tc>
      </w:tr>
    </w:tbl>
    <w:bookmarkEnd w:id="2"/>
    <w:p w14:paraId="52273615" w14:textId="3058F845" w:rsidR="00534F63" w:rsidRPr="00BB56EA" w:rsidRDefault="00534F63" w:rsidP="00534F63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>Fuente: Departamento de Servicios al Consumidor</w:t>
      </w:r>
      <w:r w:rsidR="009D48E5" w:rsidRPr="00BB56EA">
        <w:rPr>
          <w:rFonts w:ascii="Times New Roman" w:hAnsi="Times New Roman" w:cs="Times New Roman"/>
          <w:sz w:val="18"/>
          <w:szCs w:val="18"/>
        </w:rPr>
        <w:t xml:space="preserve">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495E7D" w:rsidRPr="00BB56EA">
        <w:rPr>
          <w:rFonts w:ascii="Times New Roman" w:hAnsi="Times New Roman" w:cs="Times New Roman"/>
          <w:sz w:val="18"/>
          <w:szCs w:val="18"/>
        </w:rPr>
        <w:t xml:space="preserve"> (UPSF)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7D3414" w:rsidRPr="00BB56EA">
        <w:rPr>
          <w:rFonts w:ascii="Times New Roman" w:hAnsi="Times New Roman" w:cs="Times New Roman"/>
          <w:sz w:val="18"/>
          <w:szCs w:val="18"/>
        </w:rPr>
        <w:t xml:space="preserve">Departamento de Coordinación de </w:t>
      </w:r>
      <w:r w:rsidRPr="00BB56EA">
        <w:rPr>
          <w:rFonts w:ascii="Times New Roman" w:hAnsi="Times New Roman" w:cs="Times New Roman"/>
          <w:sz w:val="18"/>
          <w:szCs w:val="18"/>
        </w:rPr>
        <w:t xml:space="preserve">Sedes </w:t>
      </w:r>
    </w:p>
    <w:p w14:paraId="2878F7FF" w14:textId="34E7494B" w:rsidR="004B5AFE" w:rsidRPr="00FA0403" w:rsidRDefault="004B5AFE" w:rsidP="00534F6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C7D438F" w14:textId="63F8C2FC" w:rsidR="00F07B9F" w:rsidRDefault="00F07B9F" w:rsidP="004B5A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5D2ADE" w14:textId="77777777" w:rsidR="00D12194" w:rsidRDefault="00D12194" w:rsidP="004B5AF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DF6991E" w14:textId="77777777" w:rsidR="00CE5A2E" w:rsidRDefault="00CE5A2E" w:rsidP="007508C7">
      <w:pPr>
        <w:pStyle w:val="Tablas"/>
      </w:pPr>
    </w:p>
    <w:p w14:paraId="2ADEA68B" w14:textId="1A076401" w:rsidR="0036026A" w:rsidRPr="00590048" w:rsidRDefault="004B5AFE" w:rsidP="00590048">
      <w:pPr>
        <w:pStyle w:val="Tablas"/>
      </w:pPr>
      <w:bookmarkStart w:id="3" w:name="_Toc216797428"/>
      <w:r w:rsidRPr="00590048">
        <w:t xml:space="preserve">Cuadro </w:t>
      </w:r>
      <w:r w:rsidR="00726F5C" w:rsidRPr="00590048">
        <w:t xml:space="preserve">2: </w:t>
      </w:r>
      <w:r w:rsidRPr="00590048">
        <w:t>Recepción de Queja</w:t>
      </w:r>
      <w:r w:rsidR="007508C7" w:rsidRPr="00590048">
        <w:t xml:space="preserve">, </w:t>
      </w:r>
      <w:r w:rsidR="00614BF5" w:rsidRPr="00590048">
        <w:t>e</w:t>
      </w:r>
      <w:r w:rsidRPr="00590048">
        <w:t xml:space="preserve">nero – </w:t>
      </w:r>
      <w:r w:rsidR="00614BF5" w:rsidRPr="00590048">
        <w:t>noviembre</w:t>
      </w:r>
      <w:r w:rsidR="00D119E4" w:rsidRPr="00590048">
        <w:t xml:space="preserve"> </w:t>
      </w:r>
      <w:r w:rsidRPr="00590048">
        <w:t>2025</w:t>
      </w:r>
      <w:bookmarkEnd w:id="3"/>
    </w:p>
    <w:tbl>
      <w:tblPr>
        <w:tblW w:w="508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848"/>
        <w:gridCol w:w="883"/>
        <w:gridCol w:w="1133"/>
        <w:gridCol w:w="994"/>
        <w:gridCol w:w="636"/>
        <w:gridCol w:w="558"/>
      </w:tblGrid>
      <w:tr w:rsidR="005101D6" w:rsidRPr="00F0016D" w14:paraId="6C036BA9" w14:textId="77777777" w:rsidTr="005101D6">
        <w:trPr>
          <w:trHeight w:val="340"/>
          <w:tblHeader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643F12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2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786CE3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DESCRIPCIÓN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A2E40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SEDE CENTRAL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12F9FF" w14:textId="7B81718D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SEDES </w:t>
            </w:r>
            <w:r w:rsidR="00DD3C2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DPTOS.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0D8579" w14:textId="4DF5D138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TOTAL</w:t>
            </w:r>
            <w:r w:rsidR="009C3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,</w:t>
            </w: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 xml:space="preserve"> QUEJAS RECIBIDAS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9C66AF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PORCENTAJE</w:t>
            </w:r>
          </w:p>
        </w:tc>
      </w:tr>
      <w:tr w:rsidR="00DD3C2C" w:rsidRPr="00F0016D" w14:paraId="3929698B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4626F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25D4C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Suministro de electricidad, gas, vapor y aire acondicionado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D21EF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FA312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CC66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376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94BD2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DD3C2C" w:rsidRPr="00F0016D" w14:paraId="024B4DA8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D45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BA3C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Energía eléctrica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59F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9EE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246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61B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330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96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DD3C2C" w:rsidRPr="00F0016D" w14:paraId="031E5D90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D57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F461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Combustible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1CF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262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4C8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D73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21089154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105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A7D5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Distribución de Gas Licuado de Petróleo -GLP-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792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F6A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39D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74D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74D04032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C12B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6D019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Suministro de agua; evacuación de aguas residuales, gestión de desechos y descontaminación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A0BD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374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75699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06C9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389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32D98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DD3C2C" w:rsidRPr="00F0016D" w14:paraId="4BD11CCA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FD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6B4F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Municipal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907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F14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18E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9BB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F0016D" w14:paraId="481C69F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52A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2E94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Agua Privada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A4C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FC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F0D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309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46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3%</w:t>
            </w:r>
          </w:p>
        </w:tc>
      </w:tr>
      <w:tr w:rsidR="00DD3C2C" w:rsidRPr="00F0016D" w14:paraId="6552949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B1FA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AE09F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Inmobiliarias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A83D7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243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4B6C2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FFCA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248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0CD4F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F0016D" w14:paraId="4876048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548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A4CB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Inmobiliarias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33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243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34E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84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248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D0E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F0016D" w14:paraId="00DC5BC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97AE9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2B080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Comercio al por mayor y al por menor; reparación de vehículos automotores y motocicletas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9F4E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4,446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4B93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509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2BD3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4,955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1A3F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43%</w:t>
            </w:r>
          </w:p>
        </w:tc>
      </w:tr>
      <w:tr w:rsidR="00DD3C2C" w:rsidRPr="00F0016D" w14:paraId="454D9B5F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BD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71A3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Comercio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5E9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3,850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C8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475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8F9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4325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9F6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37%</w:t>
            </w:r>
          </w:p>
        </w:tc>
      </w:tr>
      <w:tr w:rsidR="00DD3C2C" w:rsidRPr="00F0016D" w14:paraId="09FEC36A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5AA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F1DC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Almacenes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6C2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545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B95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F56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575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81B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DD3C2C" w:rsidRPr="00F0016D" w14:paraId="6463C38F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780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E36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Talleres de mecánica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F8A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4A5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57A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558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1E0448D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2DC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4.4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332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Venta de productos farmacéuticos y medicinales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959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4E1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F96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134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36E0907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6C22A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AF8E6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Transporte y almacenamiento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B7648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181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E5831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E4035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62158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F0016D" w14:paraId="093E1686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114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DE0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urbano y extraurbano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03D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ED2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C4CA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482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599D593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1D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5B4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vía aérea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AC9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2E9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61F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F7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F0016D" w14:paraId="5CB9D469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992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134E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Transporte de mensajería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2A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125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5EE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02B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98B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F0016D" w14:paraId="637DF8C7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16ACD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289A0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de alojamiento y de servicio de comidas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6BC2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E109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06A6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141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F6FB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EC3F55" w14:paraId="267DC6D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CBB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70F5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Hotelería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6C9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4B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5E7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A02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EC3F55" w14:paraId="63CB41C8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F59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E457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Restaurantes y otros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B29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8A7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C7D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3A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F0016D" w14:paraId="2B9AC735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A784A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7C857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Información y comunicaciones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ED7FC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834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AFA4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FAC7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873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7253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8%</w:t>
            </w:r>
          </w:p>
        </w:tc>
      </w:tr>
      <w:tr w:rsidR="00DD3C2C" w:rsidRPr="00F0016D" w14:paraId="5B9EEAFB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002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E48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Telefonía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6BD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548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7E9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CAE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571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2FB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DD3C2C" w:rsidRPr="00F0016D" w14:paraId="0C2AA8E3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750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53B4" w14:textId="451DE583" w:rsidR="00F0016D" w:rsidRPr="00F0016D" w:rsidRDefault="00E4493E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</w:t>
            </w:r>
            <w:r w:rsidR="00F0016D"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cable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47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DD7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59EE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119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DDC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F0016D" w14:paraId="36EF2197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D4C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E45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Servicio de internet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BB3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173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5BA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DA0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4B2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F0016D" w14:paraId="7FBD64FB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87DB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AAEFE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financieras y de seguros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808E2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3,398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9B24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256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9F28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3654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6A655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32%</w:t>
            </w:r>
          </w:p>
        </w:tc>
      </w:tr>
      <w:tr w:rsidR="00DD3C2C" w:rsidRPr="00EC3F55" w14:paraId="2163D63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F6D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B32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Bancos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5CA0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493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295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9F76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594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35D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5%</w:t>
            </w:r>
          </w:p>
        </w:tc>
      </w:tr>
      <w:tr w:rsidR="00DD3C2C" w:rsidRPr="00EC3F55" w14:paraId="16CFFC4B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6E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A2EE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Seguros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48B9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A6E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4FD1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108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00B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EC3F55" w14:paraId="1939E01C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893C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A147" w14:textId="77777777" w:rsidR="00F0016D" w:rsidRPr="00F0016D" w:rsidRDefault="00F0016D" w:rsidP="00F001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Tarjetas de crédito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22DF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8514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F5B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2952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DA5" w14:textId="77777777" w:rsidR="00F0016D" w:rsidRPr="00F0016D" w:rsidRDefault="00F0016D" w:rsidP="00F001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00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25%</w:t>
            </w:r>
          </w:p>
        </w:tc>
      </w:tr>
      <w:tr w:rsidR="005101D6" w:rsidRPr="00195347" w14:paraId="42A61A52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D95746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5D917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 financieros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63E3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CBAC9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69AD3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179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9E300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195347" w14:paraId="686C3C85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9896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9E18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Concesiones de préstamos por fundaciones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ABE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84B3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A15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758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4147C533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128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lastRenderedPageBreak/>
              <w:t>9.2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0228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Concesiones de préstamos por empresas mercantiles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7BF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63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9ED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A9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6F0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39634A32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4F3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CCCC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casa de empeño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84F4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C1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260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34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0E796374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3A9B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9.4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0901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Cooperativas de ahorro y crédito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3C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A73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CB7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7B4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101D6" w:rsidRPr="00195347" w14:paraId="337CAA79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90FE9" w14:textId="77777777" w:rsidR="00195347" w:rsidRPr="00195347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145561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servicios administrativos y de apoyo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1C4E1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75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DB39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1031E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82B29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5A3EF6C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B0FC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82E5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Operadores turísticos de Agencias de Viajes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72B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BDE9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A2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C9D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6B2CE6E0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3171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10.2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8209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Tiempos compartidos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5FC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F3D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435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90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5101D6" w:rsidRPr="00195347" w14:paraId="50D5ED63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20295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9D47D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Administración pública y defensa; planes de seguridad social de afiliación obligatoria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69886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23B0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F0EB9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4BC3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34AB5A73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D385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11.1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6604" w14:textId="77777777" w:rsidR="00195347" w:rsidRPr="00195347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195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Actividades de la administración pública en general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72F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E49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6EA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835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101D6" w:rsidRPr="00195347" w14:paraId="61F148D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9D04F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93B11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Enseñanza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DBE94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203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8FE94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54F5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2855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195347" w14:paraId="7DBC09AE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61B1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6C24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 xml:space="preserve">Colegios 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545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173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0926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C4D7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183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5FF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2%</w:t>
            </w:r>
          </w:p>
        </w:tc>
      </w:tr>
      <w:tr w:rsidR="00DD3C2C" w:rsidRPr="00195347" w14:paraId="35B5F9BC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4ED3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BCD0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Universidades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27F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159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C43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0A7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23A9E3CA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6E1A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12.3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95E3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Escuelas e Institutos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96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14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780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91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2EA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101D6" w:rsidRPr="00195347" w14:paraId="0BA7F9BB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48BBB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C16C7C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Actividades de atención de la salud humana y de asistencia social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BABF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95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AFD65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E1A9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E4CE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4C6D27C2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31EE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5DBC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Públicos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F32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E52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FBC4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50D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50FE3604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2268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CF5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Hospitales Privados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E04B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5631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717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72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B52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320E0392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EAB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13.3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A071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Laboratorios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0597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331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E7C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22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B97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101D6" w:rsidRPr="00195347" w14:paraId="679F9308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ABC7FC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14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4077A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Otras actividades de servicios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FD9F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9C24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0018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8688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EC3F55" w14:paraId="2989F5F1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8161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14.1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6085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Actividades de asociaciones civiles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B8F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BB3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C3EF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B18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5101D6" w:rsidRPr="00195347" w14:paraId="33F52F39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CED3A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5A4C6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Canasta Básica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F01D4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99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6058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01CF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126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84C7E3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16EE4FEF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7CCA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15.1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3E7A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Precios de los productos de la CBA y Granos Básicos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A2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99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DF9A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FFB2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99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26F4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1%</w:t>
            </w:r>
          </w:p>
        </w:tc>
      </w:tr>
      <w:tr w:rsidR="00DD3C2C" w:rsidRPr="00195347" w14:paraId="7593316D" w14:textId="77777777" w:rsidTr="005101D6">
        <w:trPr>
          <w:trHeight w:val="340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4FE0" w14:textId="77777777" w:rsidR="00195347" w:rsidRPr="00AC2FC2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s-MX" w:eastAsia="es-MX"/>
              </w:rPr>
              <w:t>15.2</w:t>
            </w:r>
          </w:p>
        </w:tc>
        <w:tc>
          <w:tcPr>
            <w:tcW w:w="2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2C3B" w14:textId="77777777" w:rsidR="00195347" w:rsidRPr="00AC2FC2" w:rsidRDefault="00195347" w:rsidP="0019534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AC2FC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Desabastecimiento de los productos de la CBA y Granos Básicos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7D7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3A9D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098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27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6C9A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</w:tr>
      <w:tr w:rsidR="00DD3C2C" w:rsidRPr="00195347" w14:paraId="24D6FCA2" w14:textId="77777777" w:rsidTr="005101D6">
        <w:trPr>
          <w:trHeight w:val="340"/>
        </w:trPr>
        <w:tc>
          <w:tcPr>
            <w:tcW w:w="2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2ADC0880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63EF189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10,397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7C50935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1,181</w:t>
            </w:r>
          </w:p>
        </w:tc>
        <w:tc>
          <w:tcPr>
            <w:tcW w:w="8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CFF1A6E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11,578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1A5E88C" w14:textId="77777777" w:rsidR="00195347" w:rsidRPr="00FA745A" w:rsidRDefault="00195347" w:rsidP="001953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100%</w:t>
            </w:r>
          </w:p>
        </w:tc>
      </w:tr>
    </w:tbl>
    <w:p w14:paraId="018C7D88" w14:textId="77777777" w:rsidR="00FA745A" w:rsidRDefault="00743561" w:rsidP="00FA745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Departamento de Servicios al Consumidor, Departamento de Verificación y </w:t>
      </w:r>
      <w:r w:rsidR="00A42139" w:rsidRPr="00BB56EA">
        <w:rPr>
          <w:rFonts w:ascii="Times New Roman" w:hAnsi="Times New Roman" w:cs="Times New Roman"/>
          <w:sz w:val="18"/>
          <w:szCs w:val="18"/>
        </w:rPr>
        <w:t>Vigilancia</w:t>
      </w:r>
      <w:r w:rsidR="00B47346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AD7168" w:rsidRPr="00BB56EA">
        <w:rPr>
          <w:rFonts w:ascii="Times New Roman" w:hAnsi="Times New Roman" w:cs="Times New Roman"/>
          <w:sz w:val="18"/>
          <w:szCs w:val="18"/>
        </w:rPr>
        <w:t>(</w:t>
      </w:r>
      <w:r w:rsidR="00B47346" w:rsidRPr="00BB56EA">
        <w:rPr>
          <w:rFonts w:ascii="Times New Roman" w:hAnsi="Times New Roman" w:cs="Times New Roman"/>
          <w:sz w:val="18"/>
          <w:szCs w:val="18"/>
        </w:rPr>
        <w:t>UPSF</w:t>
      </w:r>
      <w:r w:rsidR="00AD7168" w:rsidRPr="00BB56EA">
        <w:rPr>
          <w:rFonts w:ascii="Times New Roman" w:hAnsi="Times New Roman" w:cs="Times New Roman"/>
          <w:sz w:val="18"/>
          <w:szCs w:val="18"/>
        </w:rPr>
        <w:t>)</w:t>
      </w:r>
      <w:r w:rsidR="00A42139" w:rsidRPr="00BB56EA">
        <w:rPr>
          <w:rFonts w:ascii="Times New Roman" w:hAnsi="Times New Roman" w:cs="Times New Roman"/>
          <w:sz w:val="18"/>
          <w:szCs w:val="18"/>
        </w:rPr>
        <w:t xml:space="preserve"> y</w:t>
      </w:r>
      <w:r w:rsidRPr="00BB56EA">
        <w:rPr>
          <w:rFonts w:ascii="Times New Roman" w:hAnsi="Times New Roman" w:cs="Times New Roman"/>
          <w:sz w:val="18"/>
          <w:szCs w:val="18"/>
        </w:rPr>
        <w:t xml:space="preserve"> Departamento de Coordinación de Sedes</w:t>
      </w:r>
    </w:p>
    <w:p w14:paraId="13C1C1C2" w14:textId="77777777" w:rsidR="00FA745A" w:rsidRDefault="00FA745A" w:rsidP="00FA745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990AA98" w14:textId="77777777" w:rsidR="003710A9" w:rsidRDefault="003710A9" w:rsidP="005101D6">
      <w:pPr>
        <w:rPr>
          <w:shd w:val="clear" w:color="auto" w:fill="E0E0E0"/>
        </w:rPr>
      </w:pPr>
    </w:p>
    <w:p w14:paraId="27D2BE8E" w14:textId="77777777" w:rsidR="003710A9" w:rsidRDefault="003710A9" w:rsidP="005101D6">
      <w:pPr>
        <w:rPr>
          <w:shd w:val="clear" w:color="auto" w:fill="E0E0E0"/>
        </w:rPr>
      </w:pPr>
    </w:p>
    <w:p w14:paraId="02038311" w14:textId="77777777" w:rsidR="005101D6" w:rsidRDefault="005101D6" w:rsidP="005101D6"/>
    <w:p w14:paraId="057A3B8C" w14:textId="77777777" w:rsidR="005101D6" w:rsidRDefault="005101D6" w:rsidP="005101D6"/>
    <w:p w14:paraId="4F64E7F3" w14:textId="77777777" w:rsidR="005101D6" w:rsidRDefault="005101D6" w:rsidP="005101D6"/>
    <w:p w14:paraId="5927BD3C" w14:textId="77777777" w:rsidR="005101D6" w:rsidRDefault="005101D6" w:rsidP="005101D6"/>
    <w:p w14:paraId="69ABB16B" w14:textId="77777777" w:rsidR="005101D6" w:rsidRDefault="005101D6" w:rsidP="005101D6"/>
    <w:p w14:paraId="019D7085" w14:textId="77777777" w:rsidR="005101D6" w:rsidRDefault="005101D6" w:rsidP="005101D6"/>
    <w:p w14:paraId="4636F617" w14:textId="77777777" w:rsidR="005101D6" w:rsidRPr="005101D6" w:rsidRDefault="005101D6" w:rsidP="005101D6"/>
    <w:p w14:paraId="0A9487F5" w14:textId="4DED689A" w:rsidR="00E51B30" w:rsidRPr="007508C7" w:rsidRDefault="00E51B30" w:rsidP="007508C7">
      <w:pPr>
        <w:pStyle w:val="Ttulo1"/>
      </w:pPr>
      <w:bookmarkStart w:id="4" w:name="_Toc216788737"/>
      <w:r w:rsidRPr="007508C7">
        <w:t>Captación de Quejas</w:t>
      </w:r>
      <w:bookmarkEnd w:id="4"/>
    </w:p>
    <w:p w14:paraId="3CE10F06" w14:textId="77777777" w:rsidR="004F4B95" w:rsidRPr="004F4B95" w:rsidRDefault="004F4B95" w:rsidP="004F4B95"/>
    <w:p w14:paraId="5C09E92D" w14:textId="3F3C6ED5" w:rsidR="002A0E67" w:rsidRPr="00FA0403" w:rsidRDefault="00E51B30" w:rsidP="00E51B30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EE7FAA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EE7FAA" w:rsidRPr="00FA0403">
        <w:rPr>
          <w:rFonts w:ascii="Times New Roman" w:hAnsi="Times New Roman" w:cs="Times New Roman"/>
          <w:sz w:val="22"/>
          <w:szCs w:val="22"/>
        </w:rPr>
        <w:t>999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 por parte de los Consumidores y Usuarios, por los tres medios de captación de quejas que dispone la DIACO, de las </w:t>
      </w:r>
      <w:r w:rsidR="00D92483" w:rsidRPr="00FA0403">
        <w:rPr>
          <w:rFonts w:ascii="Times New Roman" w:hAnsi="Times New Roman" w:cs="Times New Roman"/>
          <w:sz w:val="22"/>
          <w:szCs w:val="22"/>
        </w:rPr>
        <w:t>cuales,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Sede </w:t>
      </w:r>
      <w:r w:rsidR="00D92483" w:rsidRPr="00FA0403">
        <w:rPr>
          <w:rFonts w:ascii="Times New Roman" w:hAnsi="Times New Roman" w:cs="Times New Roman"/>
          <w:sz w:val="22"/>
          <w:szCs w:val="22"/>
        </w:rPr>
        <w:t>Central, se</w:t>
      </w:r>
      <w:r w:rsidR="00C3715F" w:rsidRPr="00FA0403">
        <w:rPr>
          <w:rFonts w:ascii="Times New Roman" w:hAnsi="Times New Roman" w:cs="Times New Roman"/>
          <w:sz w:val="22"/>
          <w:szCs w:val="22"/>
        </w:rPr>
        <w:t xml:space="preserve"> recibieron </w:t>
      </w:r>
      <w:r w:rsidR="004A3F31" w:rsidRPr="00FA0403">
        <w:rPr>
          <w:rFonts w:ascii="Times New Roman" w:hAnsi="Times New Roman" w:cs="Times New Roman"/>
          <w:sz w:val="22"/>
          <w:szCs w:val="22"/>
        </w:rPr>
        <w:t>901</w:t>
      </w:r>
      <w:r w:rsidR="009D48E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y en Sedes Departamentales </w:t>
      </w:r>
      <w:r w:rsidR="004A3F31" w:rsidRPr="00FA0403">
        <w:rPr>
          <w:rFonts w:ascii="Times New Roman" w:hAnsi="Times New Roman" w:cs="Times New Roman"/>
          <w:sz w:val="22"/>
          <w:szCs w:val="22"/>
        </w:rPr>
        <w:t>98</w:t>
      </w:r>
      <w:r w:rsidR="00BC0EFA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quejas, según se detalla en el cuadro siguiente:</w:t>
      </w:r>
    </w:p>
    <w:p w14:paraId="5981EB9F" w14:textId="77777777" w:rsidR="009D48E5" w:rsidRPr="00FA0403" w:rsidRDefault="009D48E5" w:rsidP="00E51B3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C49089" w14:textId="5A64239C" w:rsidR="00BB56EA" w:rsidRPr="00590048" w:rsidRDefault="00E51B30" w:rsidP="00590048">
      <w:pPr>
        <w:pStyle w:val="Tablas"/>
      </w:pPr>
      <w:bookmarkStart w:id="5" w:name="_Toc216797429"/>
      <w:r w:rsidRPr="00590048">
        <w:t xml:space="preserve">Cuadro </w:t>
      </w:r>
      <w:r w:rsidR="00051523" w:rsidRPr="00590048">
        <w:t>3</w:t>
      </w:r>
      <w:r w:rsidR="00726F5C" w:rsidRPr="00590048">
        <w:t xml:space="preserve">: </w:t>
      </w:r>
      <w:r w:rsidRPr="00590048">
        <w:t>Captación de Quejas</w:t>
      </w:r>
      <w:r w:rsidR="00B07D3A" w:rsidRPr="00590048">
        <w:t>,</w:t>
      </w:r>
      <w:r w:rsidR="00726F5C" w:rsidRPr="00590048">
        <w:t xml:space="preserve"> </w:t>
      </w:r>
      <w:r w:rsidR="00614BF5" w:rsidRPr="00590048">
        <w:t>n</w:t>
      </w:r>
      <w:r w:rsidR="00BB56EA" w:rsidRPr="00590048">
        <w:t>oviembre 2025</w:t>
      </w:r>
      <w:bookmarkEnd w:id="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926"/>
        <w:gridCol w:w="3245"/>
        <w:gridCol w:w="1601"/>
      </w:tblGrid>
      <w:tr w:rsidR="00CC0E01" w:rsidRPr="00CE5A2E" w14:paraId="2F7789F6" w14:textId="77777777" w:rsidTr="005101D6">
        <w:trPr>
          <w:trHeight w:val="340"/>
        </w:trPr>
        <w:tc>
          <w:tcPr>
            <w:tcW w:w="1396" w:type="pct"/>
            <w:vMerge w:val="restart"/>
            <w:shd w:val="clear" w:color="auto" w:fill="8EAADB" w:themeFill="accent1" w:themeFillTint="99"/>
            <w:vAlign w:val="center"/>
            <w:hideMark/>
          </w:tcPr>
          <w:p w14:paraId="7F1CDFC0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52" w:type="pct"/>
            <w:gridSpan w:val="2"/>
            <w:shd w:val="clear" w:color="auto" w:fill="8EAADB" w:themeFill="accent1" w:themeFillTint="99"/>
            <w:vAlign w:val="center"/>
            <w:hideMark/>
          </w:tcPr>
          <w:p w14:paraId="11C0B8D9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52" w:type="pct"/>
            <w:vMerge w:val="restart"/>
            <w:shd w:val="clear" w:color="auto" w:fill="8EAADB" w:themeFill="accent1" w:themeFillTint="99"/>
            <w:noWrap/>
            <w:vAlign w:val="center"/>
            <w:hideMark/>
          </w:tcPr>
          <w:p w14:paraId="2980061F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C0E01" w:rsidRPr="00CE5A2E" w14:paraId="5099BAF4" w14:textId="77777777" w:rsidTr="005101D6">
        <w:trPr>
          <w:trHeight w:val="340"/>
        </w:trPr>
        <w:tc>
          <w:tcPr>
            <w:tcW w:w="1396" w:type="pct"/>
            <w:vMerge/>
            <w:shd w:val="clear" w:color="auto" w:fill="8EAADB" w:themeFill="accent1" w:themeFillTint="99"/>
            <w:vAlign w:val="center"/>
            <w:hideMark/>
          </w:tcPr>
          <w:p w14:paraId="17F46CC6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25" w:type="pct"/>
            <w:vMerge w:val="restart"/>
            <w:shd w:val="clear" w:color="auto" w:fill="8EAADB" w:themeFill="accent1" w:themeFillTint="99"/>
            <w:vAlign w:val="center"/>
            <w:hideMark/>
          </w:tcPr>
          <w:p w14:paraId="16FDA992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27" w:type="pct"/>
            <w:vMerge w:val="restart"/>
            <w:shd w:val="clear" w:color="auto" w:fill="8EAADB" w:themeFill="accent1" w:themeFillTint="99"/>
            <w:vAlign w:val="center"/>
            <w:hideMark/>
          </w:tcPr>
          <w:p w14:paraId="1C5EFE03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52" w:type="pct"/>
            <w:vMerge/>
            <w:shd w:val="clear" w:color="auto" w:fill="8EAADB" w:themeFill="accent1" w:themeFillTint="99"/>
            <w:vAlign w:val="center"/>
            <w:hideMark/>
          </w:tcPr>
          <w:p w14:paraId="034386DF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C0E01" w:rsidRPr="00CE5A2E" w14:paraId="4BD93297" w14:textId="77777777" w:rsidTr="005101D6">
        <w:trPr>
          <w:trHeight w:val="340"/>
        </w:trPr>
        <w:tc>
          <w:tcPr>
            <w:tcW w:w="1396" w:type="pct"/>
            <w:vMerge/>
            <w:shd w:val="clear" w:color="auto" w:fill="8EAADB" w:themeFill="accent1" w:themeFillTint="99"/>
            <w:vAlign w:val="center"/>
            <w:hideMark/>
          </w:tcPr>
          <w:p w14:paraId="34A60759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25" w:type="pct"/>
            <w:vMerge/>
            <w:shd w:val="clear" w:color="auto" w:fill="8EAADB" w:themeFill="accent1" w:themeFillTint="99"/>
            <w:vAlign w:val="center"/>
            <w:hideMark/>
          </w:tcPr>
          <w:p w14:paraId="6074B09B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27" w:type="pct"/>
            <w:vMerge/>
            <w:shd w:val="clear" w:color="auto" w:fill="8EAADB" w:themeFill="accent1" w:themeFillTint="99"/>
            <w:vAlign w:val="center"/>
            <w:hideMark/>
          </w:tcPr>
          <w:p w14:paraId="77A80AE3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52" w:type="pct"/>
            <w:vMerge/>
            <w:shd w:val="clear" w:color="auto" w:fill="8EAADB" w:themeFill="accent1" w:themeFillTint="99"/>
            <w:vAlign w:val="center"/>
            <w:hideMark/>
          </w:tcPr>
          <w:p w14:paraId="04B6ABD7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C0E01" w:rsidRPr="00CE5A2E" w14:paraId="381C9D98" w14:textId="77777777" w:rsidTr="005101D6">
        <w:trPr>
          <w:trHeight w:val="340"/>
        </w:trPr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6676B314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14:paraId="72C0F981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208</w:t>
            </w:r>
          </w:p>
        </w:tc>
        <w:tc>
          <w:tcPr>
            <w:tcW w:w="1727" w:type="pct"/>
            <w:shd w:val="clear" w:color="auto" w:fill="auto"/>
            <w:noWrap/>
            <w:vAlign w:val="center"/>
            <w:hideMark/>
          </w:tcPr>
          <w:p w14:paraId="7030B1A3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2" w:type="pct"/>
            <w:shd w:val="clear" w:color="auto" w:fill="8EAADB" w:themeFill="accent1" w:themeFillTint="99"/>
            <w:noWrap/>
            <w:vAlign w:val="center"/>
            <w:hideMark/>
          </w:tcPr>
          <w:p w14:paraId="171BAA16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208</w:t>
            </w:r>
          </w:p>
        </w:tc>
      </w:tr>
      <w:tr w:rsidR="00CC0E01" w:rsidRPr="00CE5A2E" w14:paraId="2BEC46B7" w14:textId="77777777" w:rsidTr="005101D6">
        <w:trPr>
          <w:trHeight w:val="340"/>
        </w:trPr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3CD69561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14:paraId="0F2D76D1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406</w:t>
            </w:r>
          </w:p>
        </w:tc>
        <w:tc>
          <w:tcPr>
            <w:tcW w:w="1727" w:type="pct"/>
            <w:shd w:val="clear" w:color="auto" w:fill="auto"/>
            <w:noWrap/>
            <w:vAlign w:val="center"/>
            <w:hideMark/>
          </w:tcPr>
          <w:p w14:paraId="5E33FBD4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52" w:type="pct"/>
            <w:shd w:val="clear" w:color="auto" w:fill="8EAADB" w:themeFill="accent1" w:themeFillTint="99"/>
            <w:noWrap/>
            <w:vAlign w:val="center"/>
            <w:hideMark/>
          </w:tcPr>
          <w:p w14:paraId="0B50CDEF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406</w:t>
            </w:r>
          </w:p>
        </w:tc>
      </w:tr>
      <w:tr w:rsidR="00CC0E01" w:rsidRPr="00CE5A2E" w14:paraId="6812A8B1" w14:textId="77777777" w:rsidTr="005101D6">
        <w:trPr>
          <w:trHeight w:val="340"/>
        </w:trPr>
        <w:tc>
          <w:tcPr>
            <w:tcW w:w="1396" w:type="pct"/>
            <w:shd w:val="clear" w:color="auto" w:fill="auto"/>
            <w:noWrap/>
            <w:vAlign w:val="center"/>
            <w:hideMark/>
          </w:tcPr>
          <w:p w14:paraId="2261A915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25" w:type="pct"/>
            <w:shd w:val="clear" w:color="auto" w:fill="auto"/>
            <w:noWrap/>
            <w:vAlign w:val="center"/>
            <w:hideMark/>
          </w:tcPr>
          <w:p w14:paraId="17A052DD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287</w:t>
            </w:r>
          </w:p>
        </w:tc>
        <w:tc>
          <w:tcPr>
            <w:tcW w:w="1727" w:type="pct"/>
            <w:shd w:val="clear" w:color="auto" w:fill="auto"/>
            <w:noWrap/>
            <w:vAlign w:val="center"/>
            <w:hideMark/>
          </w:tcPr>
          <w:p w14:paraId="7C979FA7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98</w:t>
            </w:r>
          </w:p>
        </w:tc>
        <w:tc>
          <w:tcPr>
            <w:tcW w:w="852" w:type="pct"/>
            <w:shd w:val="clear" w:color="auto" w:fill="8EAADB" w:themeFill="accent1" w:themeFillTint="99"/>
            <w:noWrap/>
            <w:vAlign w:val="center"/>
            <w:hideMark/>
          </w:tcPr>
          <w:p w14:paraId="5FD4D2C9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385</w:t>
            </w:r>
          </w:p>
        </w:tc>
      </w:tr>
      <w:tr w:rsidR="00CC0E01" w:rsidRPr="00CE5A2E" w14:paraId="48E953BD" w14:textId="77777777" w:rsidTr="005101D6">
        <w:trPr>
          <w:trHeight w:val="340"/>
        </w:trPr>
        <w:tc>
          <w:tcPr>
            <w:tcW w:w="1396" w:type="pct"/>
            <w:shd w:val="clear" w:color="auto" w:fill="8EAADB" w:themeFill="accent1" w:themeFillTint="99"/>
            <w:noWrap/>
            <w:vAlign w:val="center"/>
            <w:hideMark/>
          </w:tcPr>
          <w:p w14:paraId="2EDE80DF" w14:textId="77777777" w:rsidR="00CC0E01" w:rsidRPr="00CE5A2E" w:rsidRDefault="00CC0E01" w:rsidP="00BB56EA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25" w:type="pct"/>
            <w:shd w:val="clear" w:color="auto" w:fill="8EAADB" w:themeFill="accent1" w:themeFillTint="99"/>
            <w:noWrap/>
            <w:vAlign w:val="center"/>
            <w:hideMark/>
          </w:tcPr>
          <w:p w14:paraId="2902AB14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  <w:t>901</w:t>
            </w:r>
          </w:p>
        </w:tc>
        <w:tc>
          <w:tcPr>
            <w:tcW w:w="1727" w:type="pct"/>
            <w:shd w:val="clear" w:color="auto" w:fill="8EAADB" w:themeFill="accent1" w:themeFillTint="99"/>
            <w:noWrap/>
            <w:vAlign w:val="center"/>
            <w:hideMark/>
          </w:tcPr>
          <w:p w14:paraId="6669DD5A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  <w:t>98</w:t>
            </w:r>
          </w:p>
        </w:tc>
        <w:tc>
          <w:tcPr>
            <w:tcW w:w="852" w:type="pct"/>
            <w:shd w:val="clear" w:color="auto" w:fill="8EAADB" w:themeFill="accent1" w:themeFillTint="99"/>
            <w:noWrap/>
            <w:vAlign w:val="center"/>
            <w:hideMark/>
          </w:tcPr>
          <w:p w14:paraId="065DC3A7" w14:textId="77777777" w:rsidR="00CC0E01" w:rsidRPr="00CE5A2E" w:rsidRDefault="00CC0E01" w:rsidP="00BB56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color w:val="002060"/>
                <w:sz w:val="22"/>
                <w:szCs w:val="22"/>
                <w:lang w:val="es-MX" w:eastAsia="es-MX"/>
              </w:rPr>
              <w:t>999</w:t>
            </w:r>
          </w:p>
        </w:tc>
      </w:tr>
    </w:tbl>
    <w:p w14:paraId="333CFA84" w14:textId="4DBBD13E" w:rsidR="00643E10" w:rsidRDefault="005A37ED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Fuente: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  <w:r w:rsidR="00963DF2" w:rsidRPr="00BB56EA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BB56EA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Verificación </w:t>
      </w:r>
      <w:r w:rsidR="00D12194" w:rsidRPr="00BB56EA">
        <w:rPr>
          <w:rFonts w:ascii="Times New Roman" w:hAnsi="Times New Roman" w:cs="Times New Roman"/>
          <w:sz w:val="18"/>
          <w:szCs w:val="18"/>
        </w:rPr>
        <w:t>y</w:t>
      </w:r>
      <w:r w:rsidR="00D12194">
        <w:rPr>
          <w:rFonts w:ascii="Times New Roman" w:hAnsi="Times New Roman" w:cs="Times New Roman"/>
          <w:sz w:val="18"/>
          <w:szCs w:val="18"/>
        </w:rPr>
        <w:t xml:space="preserve"> Vigilancia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(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BB56EA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B80992">
        <w:rPr>
          <w:rFonts w:ascii="Times New Roman" w:hAnsi="Times New Roman" w:cs="Times New Roman"/>
          <w:sz w:val="18"/>
          <w:szCs w:val="18"/>
        </w:rPr>
        <w:t xml:space="preserve"> </w:t>
      </w:r>
      <w:r w:rsidR="00643E1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93486C" w14:textId="0B436316" w:rsidR="007D3414" w:rsidRPr="00BB56EA" w:rsidRDefault="007D3414" w:rsidP="00BB56EA">
      <w:pPr>
        <w:jc w:val="both"/>
        <w:rPr>
          <w:rFonts w:ascii="Times New Roman" w:hAnsi="Times New Roman" w:cs="Times New Roman"/>
          <w:sz w:val="18"/>
          <w:szCs w:val="18"/>
        </w:rPr>
      </w:pPr>
      <w:r w:rsidRPr="00BB56EA">
        <w:rPr>
          <w:rFonts w:ascii="Times New Roman" w:hAnsi="Times New Roman" w:cs="Times New Roman"/>
          <w:sz w:val="18"/>
          <w:szCs w:val="18"/>
        </w:rPr>
        <w:t xml:space="preserve">de Coordinación </w:t>
      </w:r>
      <w:r w:rsidR="00B80992" w:rsidRPr="00BB56EA">
        <w:rPr>
          <w:rFonts w:ascii="Times New Roman" w:hAnsi="Times New Roman" w:cs="Times New Roman"/>
          <w:sz w:val="18"/>
          <w:szCs w:val="18"/>
        </w:rPr>
        <w:t>de Sedes</w:t>
      </w:r>
      <w:r w:rsidRPr="00BB56E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69D18A" w14:textId="2303D7C5" w:rsidR="00E51B30" w:rsidRPr="00FA0403" w:rsidRDefault="00E51B30" w:rsidP="007D3414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4B2B6609" w14:textId="4EBFACA9" w:rsidR="0036026A" w:rsidRPr="00FA0403" w:rsidRDefault="0036026A" w:rsidP="0036026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recibido por los tres medios de captación que dispone la </w:t>
      </w:r>
      <w:r w:rsidR="00743561" w:rsidRPr="00FA0403">
        <w:rPr>
          <w:rFonts w:ascii="Times New Roman" w:hAnsi="Times New Roman" w:cs="Times New Roman"/>
          <w:sz w:val="22"/>
          <w:szCs w:val="22"/>
        </w:rPr>
        <w:t xml:space="preserve">DIACO, </w:t>
      </w:r>
      <w:r w:rsidR="00F07B9F" w:rsidRPr="00FA0403">
        <w:rPr>
          <w:rFonts w:ascii="Times New Roman" w:hAnsi="Times New Roman" w:cs="Times New Roman"/>
          <w:sz w:val="22"/>
          <w:szCs w:val="22"/>
        </w:rPr>
        <w:t>1</w:t>
      </w:r>
      <w:r w:rsidR="004A3F31" w:rsidRPr="00FA0403">
        <w:rPr>
          <w:rFonts w:ascii="Times New Roman" w:hAnsi="Times New Roman" w:cs="Times New Roman"/>
          <w:sz w:val="22"/>
          <w:szCs w:val="22"/>
        </w:rPr>
        <w:t>1</w:t>
      </w:r>
      <w:r w:rsidR="00F07B9F" w:rsidRPr="00FA0403">
        <w:rPr>
          <w:rFonts w:ascii="Times New Roman" w:hAnsi="Times New Roman" w:cs="Times New Roman"/>
          <w:sz w:val="22"/>
          <w:szCs w:val="22"/>
        </w:rPr>
        <w:t>,57</w:t>
      </w:r>
      <w:r w:rsidR="004A3F31" w:rsidRPr="00FA0403">
        <w:rPr>
          <w:rFonts w:ascii="Times New Roman" w:hAnsi="Times New Roman" w:cs="Times New Roman"/>
          <w:sz w:val="22"/>
          <w:szCs w:val="22"/>
        </w:rPr>
        <w:t>8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quejas; </w:t>
      </w:r>
      <w:r w:rsidR="004A3F31" w:rsidRPr="00FA0403">
        <w:rPr>
          <w:rFonts w:ascii="Times New Roman" w:hAnsi="Times New Roman" w:cs="Times New Roman"/>
          <w:sz w:val="22"/>
          <w:szCs w:val="22"/>
        </w:rPr>
        <w:t>10,397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07B9F" w:rsidRPr="00FA0403">
        <w:rPr>
          <w:rFonts w:ascii="Times New Roman" w:hAnsi="Times New Roman" w:cs="Times New Roman"/>
          <w:sz w:val="22"/>
          <w:szCs w:val="22"/>
        </w:rPr>
        <w:t>1,</w:t>
      </w:r>
      <w:r w:rsidR="004A3F31" w:rsidRPr="00FA0403">
        <w:rPr>
          <w:rFonts w:ascii="Times New Roman" w:hAnsi="Times New Roman" w:cs="Times New Roman"/>
          <w:sz w:val="22"/>
          <w:szCs w:val="22"/>
        </w:rPr>
        <w:t>181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42667AB6" w14:textId="279B4580" w:rsidR="0036026A" w:rsidRPr="00FA0403" w:rsidRDefault="0036026A" w:rsidP="00B34B2B">
      <w:pPr>
        <w:pStyle w:val="Tablas"/>
      </w:pPr>
      <w:bookmarkStart w:id="6" w:name="_Toc216797430"/>
      <w:r w:rsidRPr="00FA0403">
        <w:t>Cuadro 4</w:t>
      </w:r>
      <w:r w:rsidR="00242DDA">
        <w:t xml:space="preserve">: </w:t>
      </w:r>
      <w:r w:rsidRPr="00FA0403">
        <w:t>Captación de Quejas</w:t>
      </w:r>
      <w:r w:rsidR="00B07D3A">
        <w:t>,</w:t>
      </w:r>
      <w:r w:rsidR="00242DDA">
        <w:t xml:space="preserve"> </w:t>
      </w:r>
      <w:r w:rsidR="00614BF5">
        <w:t>e</w:t>
      </w:r>
      <w:r w:rsidRPr="00FA0403">
        <w:t xml:space="preserve">nero – </w:t>
      </w:r>
      <w:r w:rsidR="00614BF5" w:rsidRPr="00FA0403">
        <w:t>noviembre</w:t>
      </w:r>
      <w:r w:rsidRPr="00FA0403">
        <w:t xml:space="preserve"> 2025</w:t>
      </w:r>
      <w:bookmarkEnd w:id="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2050"/>
        <w:gridCol w:w="3138"/>
        <w:gridCol w:w="1608"/>
      </w:tblGrid>
      <w:tr w:rsidR="00CC0E01" w:rsidRPr="00CE5A2E" w14:paraId="39EEE5E4" w14:textId="77777777" w:rsidTr="0096033F">
        <w:trPr>
          <w:trHeight w:val="340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A831C37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MEDIOS DE CAPTACIÓN</w:t>
            </w:r>
          </w:p>
        </w:tc>
        <w:tc>
          <w:tcPr>
            <w:tcW w:w="27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2DE5905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CANTIDAD DE QUEJAS RECIBIDAS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70A1C5C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C0E01" w:rsidRPr="00CE5A2E" w14:paraId="2AD3F7C7" w14:textId="77777777" w:rsidTr="0096033F">
        <w:trPr>
          <w:trHeight w:val="340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CF627F5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A67AA76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6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6033D24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54D8AD6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C0E01" w:rsidRPr="00CE5A2E" w14:paraId="0763FEDA" w14:textId="77777777" w:rsidTr="0096033F">
        <w:trPr>
          <w:trHeight w:val="340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0D56470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57AD9AE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6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4FDBC81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53587F7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C0E01" w:rsidRPr="00CE5A2E" w14:paraId="0A9E9C41" w14:textId="77777777" w:rsidTr="0096033F">
        <w:trPr>
          <w:trHeight w:val="340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503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E6F5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3,956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1C69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B43AA61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3,956</w:t>
            </w:r>
          </w:p>
        </w:tc>
      </w:tr>
      <w:tr w:rsidR="00CC0E01" w:rsidRPr="00CE5A2E" w14:paraId="43275E2E" w14:textId="77777777" w:rsidTr="0096033F">
        <w:trPr>
          <w:trHeight w:val="340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1586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A18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3,178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97FB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F123792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3,178</w:t>
            </w:r>
          </w:p>
        </w:tc>
      </w:tr>
      <w:tr w:rsidR="00CC0E01" w:rsidRPr="00CE5A2E" w14:paraId="53C28B90" w14:textId="77777777" w:rsidTr="0096033F">
        <w:trPr>
          <w:trHeight w:val="340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EE24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B657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3,263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0A96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1,181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4C2F450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4,444</w:t>
            </w:r>
          </w:p>
        </w:tc>
      </w:tr>
      <w:tr w:rsidR="00CC0E01" w:rsidRPr="00CE5A2E" w14:paraId="49402B57" w14:textId="77777777" w:rsidTr="0096033F">
        <w:trPr>
          <w:trHeight w:val="340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970FDC9" w14:textId="77777777" w:rsidR="00CC0E01" w:rsidRPr="00CE5A2E" w:rsidRDefault="00CC0E01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EC4E621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10,397</w:t>
            </w:r>
          </w:p>
        </w:tc>
        <w:tc>
          <w:tcPr>
            <w:tcW w:w="1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2BD5F39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1,181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5FAE260" w14:textId="77777777" w:rsidR="00CC0E01" w:rsidRPr="00CE5A2E" w:rsidRDefault="00CC0E01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11,578</w:t>
            </w:r>
          </w:p>
        </w:tc>
      </w:tr>
    </w:tbl>
    <w:p w14:paraId="7BF7BE29" w14:textId="6187464A" w:rsidR="00743561" w:rsidRPr="00CF2213" w:rsidRDefault="00743561" w:rsidP="00CF2213">
      <w:pPr>
        <w:rPr>
          <w:rFonts w:ascii="Times New Roman" w:hAnsi="Times New Roman" w:cs="Times New Roman"/>
          <w:b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Pr="00CF2213">
        <w:rPr>
          <w:rFonts w:ascii="Times New Roman" w:hAnsi="Times New Roman" w:cs="Times New Roman"/>
          <w:sz w:val="18"/>
          <w:szCs w:val="18"/>
        </w:rPr>
        <w:t xml:space="preserve"> Verificación y Vigilancia</w:t>
      </w:r>
      <w:r w:rsidR="00B47346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495E7D" w:rsidRPr="00CF2213">
        <w:rPr>
          <w:rFonts w:ascii="Times New Roman" w:hAnsi="Times New Roman" w:cs="Times New Roman"/>
          <w:sz w:val="18"/>
          <w:szCs w:val="18"/>
        </w:rPr>
        <w:t>(</w:t>
      </w:r>
      <w:r w:rsidR="00B47346" w:rsidRPr="00CF2213">
        <w:rPr>
          <w:rFonts w:ascii="Times New Roman" w:hAnsi="Times New Roman" w:cs="Times New Roman"/>
          <w:sz w:val="18"/>
          <w:szCs w:val="18"/>
        </w:rPr>
        <w:t>UPSF</w:t>
      </w:r>
      <w:r w:rsidR="00495E7D" w:rsidRPr="00CF2213">
        <w:rPr>
          <w:rFonts w:ascii="Times New Roman" w:hAnsi="Times New Roman" w:cs="Times New Roman"/>
          <w:sz w:val="18"/>
          <w:szCs w:val="18"/>
        </w:rPr>
        <w:t>)</w:t>
      </w:r>
      <w:r w:rsidRPr="00CF2213">
        <w:rPr>
          <w:rFonts w:ascii="Times New Roman" w:hAnsi="Times New Roman" w:cs="Times New Roman"/>
          <w:sz w:val="18"/>
          <w:szCs w:val="18"/>
        </w:rPr>
        <w:t xml:space="preserve"> y Departamento de Coordinación de Sedes </w:t>
      </w:r>
    </w:p>
    <w:p w14:paraId="6BD542C0" w14:textId="4BE48EBC" w:rsidR="002B1F6F" w:rsidRPr="007508C7" w:rsidRDefault="004B5F81" w:rsidP="007508C7">
      <w:pPr>
        <w:pStyle w:val="Ttulo1"/>
      </w:pPr>
      <w:bookmarkStart w:id="7" w:name="_Toc216788738"/>
      <w:r w:rsidRPr="007508C7">
        <w:t>Quejas Documentadas</w:t>
      </w:r>
      <w:bookmarkEnd w:id="7"/>
    </w:p>
    <w:p w14:paraId="6F6EB323" w14:textId="2F70A88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DB3B6E" w14:textId="27487024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4A3F31" w:rsidRPr="00FA0403">
        <w:rPr>
          <w:rFonts w:ascii="Times New Roman" w:hAnsi="Times New Roman" w:cs="Times New Roman"/>
          <w:sz w:val="22"/>
          <w:szCs w:val="22"/>
        </w:rPr>
        <w:t>noviembre</w:t>
      </w:r>
      <w:r w:rsidR="00A55C73" w:rsidRPr="00FA0403">
        <w:rPr>
          <w:rFonts w:ascii="Times New Roman" w:hAnsi="Times New Roman" w:cs="Times New Roman"/>
          <w:sz w:val="22"/>
          <w:szCs w:val="22"/>
        </w:rPr>
        <w:t>, se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documentaron </w:t>
      </w:r>
      <w:r w:rsidR="004A3F31" w:rsidRPr="00FA0403">
        <w:rPr>
          <w:rFonts w:ascii="Times New Roman" w:hAnsi="Times New Roman" w:cs="Times New Roman"/>
          <w:sz w:val="22"/>
          <w:szCs w:val="22"/>
        </w:rPr>
        <w:t>809</w:t>
      </w:r>
      <w:r w:rsidR="00FA6ADB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>quejas por parte de los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>,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Usuarios 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y Tarjetahabientes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de las cuales en Sede Central fueron documentadas </w:t>
      </w:r>
      <w:r w:rsidR="004A3F31" w:rsidRPr="00FA0403">
        <w:rPr>
          <w:rFonts w:ascii="Times New Roman" w:hAnsi="Times New Roman" w:cs="Times New Roman"/>
          <w:sz w:val="22"/>
          <w:szCs w:val="22"/>
        </w:rPr>
        <w:t>711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 quejas y en Sedes Departamentales </w:t>
      </w:r>
      <w:r w:rsidR="004A3F31" w:rsidRPr="00FA0403">
        <w:rPr>
          <w:rFonts w:ascii="Times New Roman" w:hAnsi="Times New Roman" w:cs="Times New Roman"/>
          <w:sz w:val="22"/>
          <w:szCs w:val="22"/>
        </w:rPr>
        <w:t>98</w:t>
      </w:r>
      <w:r w:rsidR="001C03FD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81F57" w:rsidRPr="00FA0403">
        <w:rPr>
          <w:rFonts w:ascii="Times New Roman" w:hAnsi="Times New Roman" w:cs="Times New Roman"/>
          <w:sz w:val="22"/>
          <w:szCs w:val="22"/>
        </w:rPr>
        <w:t xml:space="preserve">quejas, </w:t>
      </w:r>
      <w:r w:rsidRPr="00FA0403">
        <w:rPr>
          <w:rFonts w:ascii="Times New Roman" w:hAnsi="Times New Roman" w:cs="Times New Roman"/>
          <w:sz w:val="22"/>
          <w:szCs w:val="22"/>
        </w:rPr>
        <w:t>según se detalla en el cuadro siguiente:</w:t>
      </w:r>
    </w:p>
    <w:p w14:paraId="2102EAF3" w14:textId="77777777" w:rsidR="003710A9" w:rsidRDefault="003710A9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50BEB3" w14:textId="4ED5D74B" w:rsidR="00281F57" w:rsidRPr="00FA0403" w:rsidRDefault="00281F57" w:rsidP="002A3DC3">
      <w:pPr>
        <w:pStyle w:val="Tablas"/>
      </w:pPr>
      <w:bookmarkStart w:id="8" w:name="_Toc216797431"/>
      <w:r w:rsidRPr="00FA0403">
        <w:t xml:space="preserve">Cuadro </w:t>
      </w:r>
      <w:r w:rsidR="00051523" w:rsidRPr="00FA0403">
        <w:t>5</w:t>
      </w:r>
      <w:r w:rsidR="00D83574">
        <w:t xml:space="preserve">: </w:t>
      </w:r>
      <w:r w:rsidRPr="00FA0403">
        <w:t>Quejas Documentadas</w:t>
      </w:r>
      <w:r w:rsidR="00614BF5">
        <w:t>, noviembre 2025</w:t>
      </w:r>
      <w:bookmarkEnd w:id="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4"/>
        <w:gridCol w:w="1881"/>
        <w:gridCol w:w="3333"/>
        <w:gridCol w:w="1426"/>
      </w:tblGrid>
      <w:tr w:rsidR="00B07D3A" w:rsidRPr="00CE5A2E" w14:paraId="21AFF756" w14:textId="77777777" w:rsidTr="0096033F">
        <w:trPr>
          <w:trHeight w:val="340"/>
        </w:trPr>
        <w:tc>
          <w:tcPr>
            <w:tcW w:w="1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6A8E7C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E8F752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65018B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AF91BE5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B07D3A" w:rsidRPr="00CE5A2E" w14:paraId="6BB23DAB" w14:textId="77777777" w:rsidTr="0096033F">
        <w:trPr>
          <w:trHeight w:val="340"/>
        </w:trPr>
        <w:tc>
          <w:tcPr>
            <w:tcW w:w="1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6B05B3B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6A8E117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7D01687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4FD3DD2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B07D3A" w:rsidRPr="00CE5A2E" w14:paraId="0284F500" w14:textId="77777777" w:rsidTr="0096033F">
        <w:trPr>
          <w:trHeight w:val="34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E34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CCA4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711</w:t>
            </w:r>
          </w:p>
        </w:tc>
        <w:tc>
          <w:tcPr>
            <w:tcW w:w="1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1EC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98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9540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809</w:t>
            </w:r>
          </w:p>
        </w:tc>
      </w:tr>
    </w:tbl>
    <w:p w14:paraId="101BE5EE" w14:textId="7422911F" w:rsidR="00CF2213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>Fuente: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>
        <w:rPr>
          <w:rFonts w:ascii="Times New Roman" w:hAnsi="Times New Roman" w:cs="Times New Roman"/>
          <w:sz w:val="18"/>
          <w:szCs w:val="18"/>
        </w:rPr>
        <w:t>de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al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Consumidor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, </w:t>
      </w:r>
      <w:r w:rsidR="00D12194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Verificación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871DCE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Vigilancia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(UPSF) </w:t>
      </w:r>
      <w:r w:rsidR="00D12194">
        <w:rPr>
          <w:rFonts w:ascii="Times New Roman" w:hAnsi="Times New Roman" w:cs="Times New Roman"/>
          <w:sz w:val="18"/>
          <w:szCs w:val="18"/>
        </w:rPr>
        <w:t>y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Departamento</w:t>
      </w:r>
      <w:r w:rsidR="007D3414" w:rsidRPr="00CF221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2A426" w14:textId="1659DA64" w:rsidR="007D3414" w:rsidRPr="00CF2213" w:rsidRDefault="007D3414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lastRenderedPageBreak/>
        <w:t xml:space="preserve">de Coordinación de Sedes </w:t>
      </w:r>
    </w:p>
    <w:p w14:paraId="241E98D2" w14:textId="73A4D95F" w:rsidR="00BB62FD" w:rsidRPr="00FA0403" w:rsidRDefault="00BB62FD" w:rsidP="007D3414">
      <w:pPr>
        <w:rPr>
          <w:rFonts w:ascii="Times New Roman" w:hAnsi="Times New Roman" w:cs="Times New Roman"/>
          <w:sz w:val="22"/>
          <w:szCs w:val="22"/>
        </w:rPr>
      </w:pPr>
    </w:p>
    <w:p w14:paraId="0207F715" w14:textId="77777777" w:rsidR="00242DDA" w:rsidRDefault="00242DDA" w:rsidP="00154D8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B0A68F" w14:textId="22A5F231" w:rsidR="00154D88" w:rsidRDefault="00154D88" w:rsidP="00154D88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documentado </w:t>
      </w:r>
      <w:r w:rsidR="004A3F31" w:rsidRPr="00FA0403">
        <w:rPr>
          <w:rFonts w:ascii="Times New Roman" w:hAnsi="Times New Roman" w:cs="Times New Roman"/>
          <w:sz w:val="22"/>
          <w:szCs w:val="22"/>
        </w:rPr>
        <w:t>7,588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quejas; </w:t>
      </w:r>
      <w:r w:rsidR="004A3F31" w:rsidRPr="00FA0403">
        <w:rPr>
          <w:rFonts w:ascii="Times New Roman" w:hAnsi="Times New Roman" w:cs="Times New Roman"/>
          <w:sz w:val="22"/>
          <w:szCs w:val="22"/>
        </w:rPr>
        <w:t>6,407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F07B9F" w:rsidRPr="00FA0403">
        <w:rPr>
          <w:rFonts w:ascii="Times New Roman" w:hAnsi="Times New Roman" w:cs="Times New Roman"/>
          <w:sz w:val="22"/>
          <w:szCs w:val="22"/>
        </w:rPr>
        <w:t>1,</w:t>
      </w:r>
      <w:r w:rsidR="004A3F31" w:rsidRPr="00FA0403">
        <w:rPr>
          <w:rFonts w:ascii="Times New Roman" w:hAnsi="Times New Roman" w:cs="Times New Roman"/>
          <w:sz w:val="22"/>
          <w:szCs w:val="22"/>
        </w:rPr>
        <w:t>181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 de la DIACO, como se detalla a continuación:</w:t>
      </w:r>
    </w:p>
    <w:p w14:paraId="2881C5A3" w14:textId="16FBA893" w:rsidR="00BB62FD" w:rsidRPr="00FA0403" w:rsidRDefault="00154D88" w:rsidP="00154D88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4D5DAB" w14:textId="0ECE3683" w:rsidR="00154D88" w:rsidRPr="00FA0403" w:rsidRDefault="00154D88" w:rsidP="001D6D92">
      <w:pPr>
        <w:pStyle w:val="Tablas"/>
      </w:pPr>
      <w:bookmarkStart w:id="9" w:name="_Toc216797432"/>
      <w:r w:rsidRPr="00FA0403">
        <w:t>Cuadro 6</w:t>
      </w:r>
      <w:r w:rsidR="00D83574">
        <w:t xml:space="preserve">: </w:t>
      </w:r>
      <w:r w:rsidRPr="00FA0403">
        <w:t xml:space="preserve">Quejas </w:t>
      </w:r>
      <w:r w:rsidR="00B07D3A" w:rsidRPr="00FA0403">
        <w:t>Documentadas</w:t>
      </w:r>
      <w:r w:rsidR="00B07D3A">
        <w:t xml:space="preserve">, </w:t>
      </w:r>
      <w:r w:rsidR="00614BF5">
        <w:t>e</w:t>
      </w:r>
      <w:r w:rsidR="00B07D3A">
        <w:t>nero</w:t>
      </w:r>
      <w:r w:rsidRPr="00FA0403">
        <w:t>–</w:t>
      </w:r>
      <w:r w:rsidR="00B07D3A">
        <w:t xml:space="preserve"> </w:t>
      </w:r>
      <w:r w:rsidR="00614BF5" w:rsidRPr="00FA0403">
        <w:t>noviembre</w:t>
      </w:r>
      <w:r w:rsidR="007B336F" w:rsidRPr="00FA0403">
        <w:t xml:space="preserve"> 2025</w:t>
      </w:r>
      <w:bookmarkEnd w:id="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0"/>
        <w:gridCol w:w="1806"/>
        <w:gridCol w:w="3416"/>
        <w:gridCol w:w="1422"/>
      </w:tblGrid>
      <w:tr w:rsidR="00B07D3A" w:rsidRPr="00CE5A2E" w14:paraId="276113FA" w14:textId="77777777" w:rsidTr="0096033F">
        <w:trPr>
          <w:trHeight w:val="340"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09FAB7C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LINEAS DE TRABAJO</w:t>
            </w: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8829F0B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61C6885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E2BC5D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B07D3A" w:rsidRPr="00CE5A2E" w14:paraId="0E3A8159" w14:textId="77777777" w:rsidTr="0096033F">
        <w:trPr>
          <w:trHeight w:val="340"/>
        </w:trPr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2482FA4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588DE8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48C343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877D434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B07D3A" w:rsidRPr="00CE5A2E" w14:paraId="3566D40D" w14:textId="77777777" w:rsidTr="0096033F">
        <w:trPr>
          <w:trHeight w:val="340"/>
        </w:trPr>
        <w:tc>
          <w:tcPr>
            <w:tcW w:w="1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E11C" w14:textId="77777777" w:rsidR="00B07D3A" w:rsidRPr="00CE5A2E" w:rsidRDefault="00B07D3A" w:rsidP="00CF221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EB3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6,407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8DC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1,181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660C" w14:textId="77777777" w:rsidR="00B07D3A" w:rsidRPr="00CE5A2E" w:rsidRDefault="00B07D3A" w:rsidP="00CF2213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7,588</w:t>
            </w:r>
          </w:p>
        </w:tc>
      </w:tr>
    </w:tbl>
    <w:p w14:paraId="17CDDD87" w14:textId="61381F7B" w:rsidR="00EE1D6C" w:rsidRDefault="00743561" w:rsidP="00CF2213">
      <w:pPr>
        <w:rPr>
          <w:rFonts w:ascii="Times New Roman" w:hAnsi="Times New Roman" w:cs="Times New Roman"/>
          <w:sz w:val="18"/>
          <w:szCs w:val="18"/>
        </w:rPr>
      </w:pPr>
      <w:r w:rsidRPr="00CF2213">
        <w:rPr>
          <w:rFonts w:ascii="Times New Roman" w:hAnsi="Times New Roman" w:cs="Times New Roman"/>
          <w:sz w:val="18"/>
          <w:szCs w:val="18"/>
        </w:rPr>
        <w:t xml:space="preserve">Fuente: </w:t>
      </w:r>
      <w:r w:rsidR="00242DDA">
        <w:rPr>
          <w:rFonts w:ascii="Times New Roman" w:hAnsi="Times New Roman" w:cs="Times New Roman"/>
          <w:sz w:val="18"/>
          <w:szCs w:val="18"/>
        </w:rPr>
        <w:t xml:space="preserve"> </w:t>
      </w:r>
      <w:r w:rsidR="00FA745A" w:rsidRPr="00CF2213">
        <w:rPr>
          <w:rFonts w:ascii="Times New Roman" w:hAnsi="Times New Roman" w:cs="Times New Roman"/>
          <w:sz w:val="18"/>
          <w:szCs w:val="18"/>
        </w:rPr>
        <w:t xml:space="preserve">Departamento </w:t>
      </w:r>
      <w:r w:rsidR="00892EEF">
        <w:rPr>
          <w:rFonts w:ascii="Times New Roman" w:hAnsi="Times New Roman" w:cs="Times New Roman"/>
          <w:sz w:val="18"/>
          <w:szCs w:val="18"/>
        </w:rPr>
        <w:t>de</w:t>
      </w:r>
      <w:r w:rsidR="00892EEF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>Servicios</w:t>
      </w:r>
      <w:r w:rsidR="00D12194" w:rsidRPr="00CF2213">
        <w:rPr>
          <w:rFonts w:ascii="Times New Roman" w:hAnsi="Times New Roman" w:cs="Times New Roman"/>
          <w:sz w:val="18"/>
          <w:szCs w:val="18"/>
        </w:rPr>
        <w:t xml:space="preserve"> </w:t>
      </w:r>
      <w:r w:rsidR="00D12194">
        <w:rPr>
          <w:rFonts w:ascii="Times New Roman" w:hAnsi="Times New Roman" w:cs="Times New Roman"/>
          <w:sz w:val="18"/>
          <w:szCs w:val="18"/>
        </w:rPr>
        <w:t xml:space="preserve">al </w:t>
      </w:r>
      <w:r w:rsidR="00D12194" w:rsidRPr="00CF2213">
        <w:rPr>
          <w:rFonts w:ascii="Times New Roman" w:hAnsi="Times New Roman" w:cs="Times New Roman"/>
          <w:sz w:val="18"/>
          <w:szCs w:val="18"/>
        </w:rPr>
        <w:t>Consumidor,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Departamento</w:t>
      </w:r>
      <w:r w:rsidR="00D12194">
        <w:rPr>
          <w:rFonts w:ascii="Times New Roman" w:hAnsi="Times New Roman" w:cs="Times New Roman"/>
          <w:sz w:val="18"/>
          <w:szCs w:val="18"/>
        </w:rPr>
        <w:t xml:space="preserve"> </w:t>
      </w:r>
      <w:r w:rsidR="00D12194" w:rsidRPr="00CF2213">
        <w:rPr>
          <w:rFonts w:ascii="Times New Roman" w:hAnsi="Times New Roman" w:cs="Times New Roman"/>
          <w:sz w:val="18"/>
          <w:szCs w:val="18"/>
        </w:rPr>
        <w:t>de</w:t>
      </w:r>
      <w:r w:rsidRPr="00CF2213">
        <w:rPr>
          <w:rFonts w:ascii="Times New Roman" w:hAnsi="Times New Roman" w:cs="Times New Roman"/>
          <w:sz w:val="18"/>
          <w:szCs w:val="18"/>
        </w:rPr>
        <w:t xml:space="preserve"> Verificación y Vigilancia</w:t>
      </w:r>
      <w:r w:rsidR="00495E7D" w:rsidRPr="00CF2213">
        <w:rPr>
          <w:rFonts w:ascii="Times New Roman" w:hAnsi="Times New Roman" w:cs="Times New Roman"/>
          <w:sz w:val="18"/>
          <w:szCs w:val="18"/>
        </w:rPr>
        <w:t xml:space="preserve"> (UPSF)</w:t>
      </w:r>
      <w:r w:rsidRPr="00CF2213">
        <w:rPr>
          <w:rFonts w:ascii="Times New Roman" w:hAnsi="Times New Roman" w:cs="Times New Roman"/>
          <w:sz w:val="18"/>
          <w:szCs w:val="18"/>
        </w:rPr>
        <w:t xml:space="preserve">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16B56CCC" w14:textId="77777777" w:rsidR="00D51870" w:rsidRPr="00CF2213" w:rsidRDefault="00D51870" w:rsidP="00CF2213">
      <w:pPr>
        <w:rPr>
          <w:rFonts w:ascii="Times New Roman" w:hAnsi="Times New Roman" w:cs="Times New Roman"/>
          <w:sz w:val="18"/>
          <w:szCs w:val="18"/>
        </w:rPr>
      </w:pPr>
    </w:p>
    <w:p w14:paraId="6C3A00DA" w14:textId="502D8B57" w:rsidR="003471B1" w:rsidRPr="007508C7" w:rsidRDefault="002F21F7" w:rsidP="007508C7">
      <w:pPr>
        <w:pStyle w:val="Ttulo1"/>
      </w:pPr>
      <w:bookmarkStart w:id="10" w:name="_Toc216788739"/>
      <w:r w:rsidRPr="007508C7">
        <w:t xml:space="preserve">Atención y </w:t>
      </w:r>
      <w:r w:rsidR="003471B1" w:rsidRPr="007508C7">
        <w:t>Resolución de Quejas</w:t>
      </w:r>
      <w:bookmarkEnd w:id="10"/>
    </w:p>
    <w:p w14:paraId="62F6E88A" w14:textId="3543E926" w:rsidR="00421DF2" w:rsidRPr="00FA0403" w:rsidRDefault="00421DF2" w:rsidP="00421DF2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62E92403" w14:textId="44B174D7" w:rsidR="00AE36AA" w:rsidRPr="00FA0403" w:rsidRDefault="008A384E" w:rsidP="00AE36A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4A3F31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resolvieron </w:t>
      </w:r>
      <w:r w:rsidR="00F07B9F" w:rsidRPr="00FA0403">
        <w:rPr>
          <w:rFonts w:ascii="Times New Roman" w:hAnsi="Times New Roman" w:cs="Times New Roman"/>
          <w:sz w:val="22"/>
          <w:szCs w:val="22"/>
        </w:rPr>
        <w:t>5</w:t>
      </w:r>
      <w:r w:rsidR="004A3F31" w:rsidRPr="00FA0403">
        <w:rPr>
          <w:rFonts w:ascii="Times New Roman" w:hAnsi="Times New Roman" w:cs="Times New Roman"/>
          <w:sz w:val="22"/>
          <w:szCs w:val="22"/>
        </w:rPr>
        <w:t>54</w:t>
      </w:r>
      <w:r w:rsidR="0086184F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quejas: </w:t>
      </w:r>
      <w:r w:rsidR="004A3F31" w:rsidRPr="00FA0403">
        <w:rPr>
          <w:rFonts w:ascii="Times New Roman" w:hAnsi="Times New Roman" w:cs="Times New Roman"/>
          <w:sz w:val="22"/>
          <w:szCs w:val="22"/>
        </w:rPr>
        <w:t>115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9C2DCA" w:rsidRPr="00FA0403">
        <w:rPr>
          <w:rFonts w:ascii="Times New Roman" w:hAnsi="Times New Roman" w:cs="Times New Roman"/>
          <w:sz w:val="22"/>
          <w:szCs w:val="22"/>
        </w:rPr>
        <w:t>4</w:t>
      </w:r>
      <w:r w:rsidR="004A3F31" w:rsidRPr="00FA0403">
        <w:rPr>
          <w:rFonts w:ascii="Times New Roman" w:hAnsi="Times New Roman" w:cs="Times New Roman"/>
          <w:sz w:val="22"/>
          <w:szCs w:val="22"/>
        </w:rPr>
        <w:t>39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conciliación, de las cuales en la Sede Central fueron </w:t>
      </w:r>
      <w:r w:rsidR="004A3F31" w:rsidRPr="00FA0403">
        <w:rPr>
          <w:rFonts w:ascii="Times New Roman" w:hAnsi="Times New Roman" w:cs="Times New Roman"/>
          <w:sz w:val="22"/>
          <w:szCs w:val="22"/>
        </w:rPr>
        <w:t>470</w:t>
      </w:r>
      <w:r w:rsidRPr="00FA0403">
        <w:rPr>
          <w:rFonts w:ascii="Times New Roman" w:hAnsi="Times New Roman" w:cs="Times New Roman"/>
          <w:sz w:val="22"/>
          <w:szCs w:val="22"/>
        </w:rPr>
        <w:t xml:space="preserve">; y en las Sedes Departamentales </w:t>
      </w:r>
      <w:r w:rsidR="0010414C" w:rsidRPr="00FA0403">
        <w:rPr>
          <w:rFonts w:ascii="Times New Roman" w:hAnsi="Times New Roman" w:cs="Times New Roman"/>
          <w:sz w:val="22"/>
          <w:szCs w:val="22"/>
        </w:rPr>
        <w:t>8</w:t>
      </w:r>
      <w:r w:rsidR="004A3F31" w:rsidRPr="00FA0403">
        <w:rPr>
          <w:rFonts w:ascii="Times New Roman" w:hAnsi="Times New Roman" w:cs="Times New Roman"/>
          <w:sz w:val="22"/>
          <w:szCs w:val="22"/>
        </w:rPr>
        <w:t>4</w:t>
      </w:r>
      <w:r w:rsidRPr="00FA0403">
        <w:rPr>
          <w:rFonts w:ascii="Times New Roman" w:hAnsi="Times New Roman" w:cs="Times New Roman"/>
          <w:sz w:val="22"/>
          <w:szCs w:val="22"/>
        </w:rPr>
        <w:t xml:space="preserve">.  </w:t>
      </w:r>
      <w:r w:rsidR="00AE36AA" w:rsidRPr="00FA0403">
        <w:rPr>
          <w:rFonts w:ascii="Times New Roman" w:hAnsi="Times New Roman" w:cs="Times New Roman"/>
          <w:sz w:val="22"/>
          <w:szCs w:val="22"/>
        </w:rPr>
        <w:t xml:space="preserve">Asimismo, se brindaron asesorías y se atendieron consultas a </w:t>
      </w:r>
      <w:r w:rsidR="004A3F31" w:rsidRPr="00FA0403">
        <w:rPr>
          <w:rFonts w:ascii="Times New Roman" w:hAnsi="Times New Roman" w:cs="Times New Roman"/>
          <w:sz w:val="22"/>
          <w:szCs w:val="22"/>
        </w:rPr>
        <w:t>2,092</w:t>
      </w:r>
      <w:r w:rsidR="00AE36AA" w:rsidRPr="00FA0403">
        <w:rPr>
          <w:rFonts w:ascii="Times New Roman" w:hAnsi="Times New Roman" w:cs="Times New Roman"/>
          <w:sz w:val="22"/>
          <w:szCs w:val="22"/>
        </w:rPr>
        <w:t xml:space="preserve"> consumidores, usuarios y tarjetahabientes, según se detalla en el cuadro siguiente:</w:t>
      </w:r>
    </w:p>
    <w:p w14:paraId="79F36C15" w14:textId="389B7A7C" w:rsidR="00AE36AA" w:rsidRDefault="00AE36AA" w:rsidP="00AE3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F94175" w14:textId="3B70246D" w:rsidR="008A384E" w:rsidRPr="00FA0403" w:rsidRDefault="008A384E" w:rsidP="002A3DC3">
      <w:pPr>
        <w:pStyle w:val="Tablas"/>
      </w:pPr>
      <w:bookmarkStart w:id="11" w:name="_Toc216797433"/>
      <w:r w:rsidRPr="00FA0403">
        <w:t xml:space="preserve">Cuadro </w:t>
      </w:r>
      <w:r w:rsidR="00051523" w:rsidRPr="00FA0403">
        <w:t>7</w:t>
      </w:r>
      <w:r w:rsidR="00D83574">
        <w:t xml:space="preserve">: </w:t>
      </w:r>
      <w:r w:rsidR="00D51870">
        <w:t xml:space="preserve"> </w:t>
      </w:r>
      <w:r w:rsidRPr="00FA0403">
        <w:t>Resolución de Quejas</w:t>
      </w:r>
      <w:r w:rsidR="00614BF5">
        <w:t>, noviembre 2025</w:t>
      </w:r>
      <w:bookmarkEnd w:id="1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1693"/>
        <w:gridCol w:w="950"/>
        <w:gridCol w:w="1803"/>
        <w:gridCol w:w="2439"/>
        <w:gridCol w:w="911"/>
      </w:tblGrid>
      <w:tr w:rsidR="003561A5" w:rsidRPr="00CE5A2E" w14:paraId="60173F52" w14:textId="77777777" w:rsidTr="00B07D3A">
        <w:trPr>
          <w:trHeight w:val="351"/>
        </w:trPr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168C654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 DE TRABAJO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B8D367D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3705F87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0DC3A4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242DDA" w:rsidRPr="00CE5A2E" w14:paraId="58EF97A7" w14:textId="77777777" w:rsidTr="00B07D3A">
        <w:trPr>
          <w:trHeight w:val="571"/>
        </w:trPr>
        <w:tc>
          <w:tcPr>
            <w:tcW w:w="1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756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DBD2352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SERVICIOS AL CONSUMIDOR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C00DBF9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LEGAL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03E1D4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VERIFICACION Y VIGILANCIA</w:t>
            </w: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8451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EC79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242DDA" w:rsidRPr="00CE5A2E" w14:paraId="6B59BD54" w14:textId="77777777" w:rsidTr="00242DDA">
        <w:trPr>
          <w:trHeight w:val="431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B642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04F3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69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CB99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8706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ADE0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22CB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115</w:t>
            </w:r>
          </w:p>
        </w:tc>
      </w:tr>
      <w:tr w:rsidR="00242DDA" w:rsidRPr="00CE5A2E" w14:paraId="57DFD375" w14:textId="77777777" w:rsidTr="00242DDA">
        <w:trPr>
          <w:trHeight w:val="401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3BD2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CE51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184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C9FA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3969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113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56D2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A2C9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439</w:t>
            </w:r>
          </w:p>
        </w:tc>
      </w:tr>
      <w:tr w:rsidR="00B35E3C" w:rsidRPr="00CE5A2E" w14:paraId="23DBC4D7" w14:textId="77777777" w:rsidTr="00B07D3A">
        <w:trPr>
          <w:trHeight w:val="298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C0128F" w14:textId="77777777" w:rsidR="00695AD4" w:rsidRPr="00CE5A2E" w:rsidRDefault="00695AD4" w:rsidP="00695A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394D6BC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253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FFEBB85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89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6CB343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128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725D1EF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0F360F7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554</w:t>
            </w:r>
          </w:p>
        </w:tc>
      </w:tr>
      <w:tr w:rsidR="00242DDA" w:rsidRPr="00CE5A2E" w14:paraId="366A2DCC" w14:textId="77777777" w:rsidTr="00242DDA">
        <w:trPr>
          <w:trHeight w:val="532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F2B" w14:textId="77777777" w:rsidR="00695AD4" w:rsidRPr="00CE5A2E" w:rsidRDefault="00695AD4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DE7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937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6320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6BAF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1,155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0718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A90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2,092</w:t>
            </w:r>
          </w:p>
        </w:tc>
      </w:tr>
      <w:tr w:rsidR="00B35E3C" w:rsidRPr="00CE5A2E" w14:paraId="737FCF60" w14:textId="77777777" w:rsidTr="00B07D3A">
        <w:trPr>
          <w:trHeight w:val="401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26BA987" w14:textId="77777777" w:rsidR="00695AD4" w:rsidRPr="00CE5A2E" w:rsidRDefault="00695AD4" w:rsidP="00695A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535F49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937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7B32AE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5544222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1,155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C79F52E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DBFD5F3" w14:textId="77777777" w:rsidR="00695AD4" w:rsidRPr="00CE5A2E" w:rsidRDefault="00695AD4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2,092</w:t>
            </w:r>
          </w:p>
        </w:tc>
      </w:tr>
    </w:tbl>
    <w:p w14:paraId="46FDE0C8" w14:textId="38ED13DF" w:rsidR="007D3414" w:rsidRPr="00695AD4" w:rsidRDefault="00395459" w:rsidP="007D3414">
      <w:pPr>
        <w:jc w:val="both"/>
        <w:rPr>
          <w:rFonts w:ascii="Times New Roman" w:hAnsi="Times New Roman" w:cs="Times New Roman"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 xml:space="preserve">Fuente: Departamentos de Servicios al Consumidor, </w:t>
      </w:r>
      <w:r w:rsidR="007D3414" w:rsidRPr="00695AD4">
        <w:rPr>
          <w:rFonts w:ascii="Times New Roman" w:hAnsi="Times New Roman" w:cs="Times New Roman"/>
          <w:sz w:val="18"/>
          <w:szCs w:val="18"/>
        </w:rPr>
        <w:t>Legal</w:t>
      </w:r>
      <w:r w:rsidRPr="00695AD4">
        <w:rPr>
          <w:rFonts w:ascii="Times New Roman" w:hAnsi="Times New Roman" w:cs="Times New Roman"/>
          <w:sz w:val="18"/>
          <w:szCs w:val="18"/>
        </w:rPr>
        <w:t>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>Departamento de Coordinación de Sedes</w:t>
      </w:r>
    </w:p>
    <w:p w14:paraId="31130807" w14:textId="32F61F72" w:rsidR="00B35E3C" w:rsidRDefault="00B35E3C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212D29" w14:textId="77777777" w:rsidR="00FA745A" w:rsidRDefault="00FA745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ABB370" w14:textId="25F322FE" w:rsidR="00EE1D6C" w:rsidRDefault="00EE1D6C" w:rsidP="00EE1D6C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9C2DCA" w:rsidRPr="00FA0403">
        <w:rPr>
          <w:rFonts w:ascii="Times New Roman" w:hAnsi="Times New Roman" w:cs="Times New Roman"/>
          <w:sz w:val="22"/>
          <w:szCs w:val="22"/>
        </w:rPr>
        <w:t>6,</w:t>
      </w:r>
      <w:r w:rsidR="004A3F31" w:rsidRPr="00FA0403">
        <w:rPr>
          <w:rFonts w:ascii="Times New Roman" w:hAnsi="Times New Roman" w:cs="Times New Roman"/>
          <w:sz w:val="22"/>
          <w:szCs w:val="22"/>
        </w:rPr>
        <w:t>942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quejas; </w:t>
      </w:r>
      <w:r w:rsidR="004A3F31" w:rsidRPr="00FA0403">
        <w:rPr>
          <w:rFonts w:ascii="Times New Roman" w:hAnsi="Times New Roman" w:cs="Times New Roman"/>
          <w:sz w:val="22"/>
          <w:szCs w:val="22"/>
        </w:rPr>
        <w:t>879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resueltas </w:t>
      </w:r>
      <w:r w:rsidR="00064051" w:rsidRPr="00FA0403">
        <w:rPr>
          <w:rFonts w:ascii="Times New Roman" w:hAnsi="Times New Roman" w:cs="Times New Roman"/>
          <w:sz w:val="22"/>
          <w:szCs w:val="22"/>
        </w:rPr>
        <w:t>por mediación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</w:t>
      </w:r>
      <w:r w:rsidR="004A3F31" w:rsidRPr="00FA0403">
        <w:rPr>
          <w:rFonts w:ascii="Times New Roman" w:hAnsi="Times New Roman" w:cs="Times New Roman"/>
          <w:sz w:val="22"/>
          <w:szCs w:val="22"/>
        </w:rPr>
        <w:t>6,</w:t>
      </w:r>
      <w:r w:rsidR="00F56333" w:rsidRPr="00FA0403">
        <w:rPr>
          <w:rFonts w:ascii="Times New Roman" w:hAnsi="Times New Roman" w:cs="Times New Roman"/>
          <w:sz w:val="22"/>
          <w:szCs w:val="22"/>
        </w:rPr>
        <w:t>063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conciliación; de las cuales</w:t>
      </w:r>
      <w:r w:rsidR="00086000" w:rsidRPr="00FA0403">
        <w:rPr>
          <w:rFonts w:ascii="Times New Roman" w:hAnsi="Times New Roman" w:cs="Times New Roman"/>
          <w:sz w:val="22"/>
          <w:szCs w:val="22"/>
        </w:rPr>
        <w:t xml:space="preserve"> fueron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resueltas en la Sede Central </w:t>
      </w:r>
      <w:r w:rsidR="004A3F31" w:rsidRPr="00FA0403">
        <w:rPr>
          <w:rFonts w:ascii="Times New Roman" w:hAnsi="Times New Roman" w:cs="Times New Roman"/>
          <w:sz w:val="22"/>
          <w:szCs w:val="22"/>
        </w:rPr>
        <w:t>6,140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en las Sedes Departamentales </w:t>
      </w:r>
      <w:r w:rsidR="004A3F31" w:rsidRPr="00FA0403">
        <w:rPr>
          <w:rFonts w:ascii="Times New Roman" w:hAnsi="Times New Roman" w:cs="Times New Roman"/>
          <w:sz w:val="22"/>
          <w:szCs w:val="22"/>
        </w:rPr>
        <w:t>802</w:t>
      </w:r>
      <w:r w:rsidRPr="00FA0403">
        <w:rPr>
          <w:rFonts w:ascii="Times New Roman" w:hAnsi="Times New Roman" w:cs="Times New Roman"/>
          <w:sz w:val="22"/>
          <w:szCs w:val="22"/>
        </w:rPr>
        <w:t xml:space="preserve">. Asimismo, se </w:t>
      </w:r>
      <w:r w:rsidR="003A0228" w:rsidRPr="00FA0403">
        <w:rPr>
          <w:rFonts w:ascii="Times New Roman" w:hAnsi="Times New Roman" w:cs="Times New Roman"/>
          <w:sz w:val="22"/>
          <w:szCs w:val="22"/>
        </w:rPr>
        <w:t xml:space="preserve">han brindado </w:t>
      </w:r>
      <w:r w:rsidRPr="00FA0403">
        <w:rPr>
          <w:rFonts w:ascii="Times New Roman" w:hAnsi="Times New Roman" w:cs="Times New Roman"/>
          <w:sz w:val="22"/>
          <w:szCs w:val="22"/>
        </w:rPr>
        <w:t xml:space="preserve">asesorías </w:t>
      </w:r>
      <w:r w:rsidR="003A0228" w:rsidRPr="00FA0403">
        <w:rPr>
          <w:rFonts w:ascii="Times New Roman" w:hAnsi="Times New Roman" w:cs="Times New Roman"/>
          <w:sz w:val="22"/>
          <w:szCs w:val="22"/>
        </w:rPr>
        <w:t>y</w:t>
      </w:r>
      <w:r w:rsidR="00A220E9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consultas a </w:t>
      </w:r>
      <w:r w:rsidR="00CA4A1F" w:rsidRPr="00FA0403">
        <w:rPr>
          <w:rFonts w:ascii="Times New Roman" w:hAnsi="Times New Roman" w:cs="Times New Roman"/>
          <w:sz w:val="22"/>
          <w:szCs w:val="22"/>
        </w:rPr>
        <w:t>38,503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consumidores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>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, como se puede observar en el cuadro siguiente: </w:t>
      </w:r>
    </w:p>
    <w:p w14:paraId="7B922730" w14:textId="30F65021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46CC6D8" w14:textId="0C1549E7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C0D918" w14:textId="2C552DB6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C7573D" w14:textId="2C6A9AE0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C44371" w14:textId="545C0524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3E0DAB" w14:textId="0C9F3FED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6422AA" w14:textId="2092BD1C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6D9D7C" w14:textId="603F6E5E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7A018F" w14:textId="135E7D42" w:rsidR="00242DDA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F7F776" w14:textId="77777777" w:rsidR="00D12194" w:rsidRDefault="00D12194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0DC0126" w14:textId="77777777" w:rsidR="00CE5A2E" w:rsidRDefault="00CE5A2E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DCEDE0" w14:textId="77777777" w:rsidR="00CE5A2E" w:rsidRDefault="00CE5A2E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51216F" w14:textId="77777777" w:rsidR="00242DDA" w:rsidRPr="00FA0403" w:rsidRDefault="00242DDA" w:rsidP="00EE1D6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21D9F8" w14:textId="3C97CADC" w:rsidR="00EE1D6C" w:rsidRPr="00FA0403" w:rsidRDefault="00EE1D6C" w:rsidP="002A3DC3">
      <w:pPr>
        <w:pStyle w:val="Tablas"/>
      </w:pPr>
      <w:bookmarkStart w:id="12" w:name="_Toc216797434"/>
      <w:r w:rsidRPr="00FA0403">
        <w:t>Cuadro 8</w:t>
      </w:r>
      <w:r w:rsidR="00D51870">
        <w:t xml:space="preserve">: </w:t>
      </w:r>
      <w:r w:rsidRPr="00FA0403">
        <w:t>Resolución de Quejas</w:t>
      </w:r>
      <w:r w:rsidR="00B07D3A">
        <w:t>,</w:t>
      </w:r>
      <w:r w:rsidR="00D51870">
        <w:t xml:space="preserve"> </w:t>
      </w:r>
      <w:r w:rsidR="00614BF5">
        <w:t>e</w:t>
      </w:r>
      <w:r w:rsidRPr="00FA0403">
        <w:t>nero</w:t>
      </w:r>
      <w:r w:rsidR="00614BF5">
        <w:t xml:space="preserve"> </w:t>
      </w:r>
      <w:r w:rsidRPr="00FA0403">
        <w:t>–</w:t>
      </w:r>
      <w:r w:rsidR="00B07D3A">
        <w:t xml:space="preserve"> </w:t>
      </w:r>
      <w:r w:rsidR="00614BF5" w:rsidRPr="00FA0403">
        <w:t>noviembre</w:t>
      </w:r>
      <w:r w:rsidRPr="00FA0403">
        <w:t xml:space="preserve"> 2025</w:t>
      </w:r>
      <w:bookmarkEnd w:id="1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1693"/>
        <w:gridCol w:w="1100"/>
        <w:gridCol w:w="1803"/>
        <w:gridCol w:w="2439"/>
        <w:gridCol w:w="911"/>
      </w:tblGrid>
      <w:tr w:rsidR="00CE5A2E" w:rsidRPr="00CE5A2E" w14:paraId="28CFC266" w14:textId="77777777" w:rsidTr="00CE5A2E">
        <w:trPr>
          <w:trHeight w:val="340"/>
        </w:trPr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FF116EE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LINEA DE TRABAJO</w:t>
            </w:r>
          </w:p>
        </w:tc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0F099D6D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 CENTRAL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E926E6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SEDES DEPARTAMENTALES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186509F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</w:tr>
      <w:tr w:rsidR="00CE5A2E" w:rsidRPr="00CE5A2E" w14:paraId="09687C1F" w14:textId="77777777" w:rsidTr="00CE5A2E">
        <w:trPr>
          <w:trHeight w:val="340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657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6B95CA" w14:textId="645FCC5D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DPTO. SERVICIOS AL CONSUMIDOR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F5E4C96" w14:textId="53D64475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PTO.</w:t>
            </w: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LEGAL</w:t>
            </w:r>
          </w:p>
        </w:tc>
        <w:tc>
          <w:tcPr>
            <w:tcW w:w="8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FACE70B" w14:textId="2FB5969D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DPTO. VERIFICACION Y VIGILANCIA</w:t>
            </w: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84E96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B62B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E5A2E" w:rsidRPr="00CE5A2E" w14:paraId="18122B5F" w14:textId="77777777" w:rsidTr="00CE5A2E">
        <w:trPr>
          <w:trHeight w:val="340"/>
        </w:trPr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6557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32774D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177D65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D325CEA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352F3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1B3A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E5A2E" w:rsidRPr="00CE5A2E" w14:paraId="5DE7FA03" w14:textId="77777777" w:rsidTr="00CE5A2E">
        <w:trPr>
          <w:trHeight w:val="340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59F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6A86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444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8580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4BC7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198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E7AF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237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0EF8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879</w:t>
            </w:r>
          </w:p>
        </w:tc>
      </w:tr>
      <w:tr w:rsidR="00CE5A2E" w:rsidRPr="00CE5A2E" w14:paraId="07C2FE79" w14:textId="77777777" w:rsidTr="00CE5A2E">
        <w:trPr>
          <w:trHeight w:val="340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205B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FAC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1,754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67AA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982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BA1A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2,762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4D04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565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5690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6,063</w:t>
            </w:r>
          </w:p>
        </w:tc>
      </w:tr>
      <w:tr w:rsidR="00CE5A2E" w:rsidRPr="00CE5A2E" w14:paraId="13D96306" w14:textId="77777777" w:rsidTr="00CE5A2E">
        <w:trPr>
          <w:trHeight w:val="340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EA91643" w14:textId="77777777" w:rsidR="00CE5A2E" w:rsidRPr="00CE5A2E" w:rsidRDefault="00CE5A2E" w:rsidP="00695A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C7EBEC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2,198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BB27F91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982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9D4DEC7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2,960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7350EF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802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0F4B619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6,942</w:t>
            </w:r>
          </w:p>
        </w:tc>
      </w:tr>
      <w:tr w:rsidR="00CE5A2E" w:rsidRPr="00CE5A2E" w14:paraId="6E455C92" w14:textId="77777777" w:rsidTr="00CE5A2E">
        <w:trPr>
          <w:trHeight w:val="340"/>
        </w:trPr>
        <w:tc>
          <w:tcPr>
            <w:tcW w:w="7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005" w14:textId="77777777" w:rsidR="00CE5A2E" w:rsidRPr="00CE5A2E" w:rsidRDefault="00CE5A2E" w:rsidP="00695AD4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Técnicas 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9430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26,745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F45E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8873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11,758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7680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D45A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38,503</w:t>
            </w:r>
          </w:p>
        </w:tc>
      </w:tr>
      <w:tr w:rsidR="00CE5A2E" w:rsidRPr="00CE5A2E" w14:paraId="7A3C76DB" w14:textId="77777777" w:rsidTr="00CE5A2E">
        <w:trPr>
          <w:trHeight w:val="340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5FD4260" w14:textId="77777777" w:rsidR="00CE5A2E" w:rsidRPr="00CE5A2E" w:rsidRDefault="00CE5A2E" w:rsidP="00695AD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FE8481A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26,745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D22BE39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E87411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11,758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8B95E1C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5C18E8" w14:textId="77777777" w:rsidR="00CE5A2E" w:rsidRPr="00CE5A2E" w:rsidRDefault="00CE5A2E" w:rsidP="00695A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CE5A2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38,503</w:t>
            </w:r>
          </w:p>
        </w:tc>
      </w:tr>
    </w:tbl>
    <w:p w14:paraId="7399E1F4" w14:textId="6DF9AC7D" w:rsidR="00EE1D6C" w:rsidRPr="00695AD4" w:rsidRDefault="00536C3F" w:rsidP="00536C3F">
      <w:pPr>
        <w:rPr>
          <w:rFonts w:ascii="Times New Roman" w:hAnsi="Times New Roman" w:cs="Times New Roman"/>
          <w:b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</w:t>
      </w:r>
      <w:r w:rsidR="00B47346" w:rsidRPr="00695AD4">
        <w:rPr>
          <w:rFonts w:ascii="Times New Roman" w:hAnsi="Times New Roman" w:cs="Times New Roman"/>
          <w:sz w:val="18"/>
          <w:szCs w:val="18"/>
        </w:rPr>
        <w:t>, UPSF</w:t>
      </w:r>
      <w:r w:rsidRPr="00695AD4">
        <w:rPr>
          <w:rFonts w:ascii="Times New Roman" w:hAnsi="Times New Roman" w:cs="Times New Roman"/>
          <w:sz w:val="18"/>
          <w:szCs w:val="18"/>
        </w:rPr>
        <w:t xml:space="preserve"> y </w:t>
      </w:r>
      <w:r w:rsidR="00B75D5A" w:rsidRPr="00695AD4">
        <w:rPr>
          <w:rFonts w:ascii="Times New Roman" w:hAnsi="Times New Roman" w:cs="Times New Roman"/>
          <w:sz w:val="18"/>
          <w:szCs w:val="18"/>
        </w:rPr>
        <w:t xml:space="preserve">Departamento de </w:t>
      </w:r>
      <w:r w:rsidRPr="00695AD4">
        <w:rPr>
          <w:rFonts w:ascii="Times New Roman" w:hAnsi="Times New Roman" w:cs="Times New Roman"/>
          <w:sz w:val="18"/>
          <w:szCs w:val="18"/>
        </w:rPr>
        <w:t>Coordinación de Sedes</w:t>
      </w:r>
    </w:p>
    <w:p w14:paraId="5FA56B00" w14:textId="77777777" w:rsidR="00AE6EEE" w:rsidRDefault="00AE6EEE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561C8C2" w14:textId="77777777" w:rsidR="00CE5A2E" w:rsidRDefault="00CE5A2E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01B0F06" w14:textId="77777777" w:rsidR="00CE5A2E" w:rsidRDefault="00CE5A2E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3A618A" w14:textId="30CDD251" w:rsidR="0043744A" w:rsidRPr="003710A9" w:rsidRDefault="00B7662C" w:rsidP="003710A9">
      <w:pPr>
        <w:pStyle w:val="Graficas"/>
      </w:pPr>
      <w:bookmarkStart w:id="13" w:name="_Toc216799815"/>
      <w:bookmarkStart w:id="14" w:name="_Toc216800259"/>
      <w:r w:rsidRPr="003710A9">
        <w:t>Gráfico</w:t>
      </w:r>
      <w:r w:rsidR="002B1F6F" w:rsidRPr="003710A9">
        <w:t xml:space="preserve"> </w:t>
      </w:r>
      <w:r w:rsidR="00D7559B" w:rsidRPr="003710A9">
        <w:t>1</w:t>
      </w:r>
      <w:r w:rsidR="002906FE" w:rsidRPr="003710A9">
        <w:t xml:space="preserve">: </w:t>
      </w:r>
      <w:r w:rsidR="0043744A" w:rsidRPr="003710A9">
        <w:t>Atención y Resolución de Quejas</w:t>
      </w:r>
      <w:r w:rsidR="00CE5A2E">
        <w:t>,</w:t>
      </w:r>
      <w:r w:rsidR="001D3E3D" w:rsidRPr="003710A9">
        <w:t xml:space="preserve"> </w:t>
      </w:r>
      <w:r w:rsidR="00614BF5">
        <w:t>e</w:t>
      </w:r>
      <w:r w:rsidR="0043744A" w:rsidRPr="003710A9">
        <w:t xml:space="preserve">nero – </w:t>
      </w:r>
      <w:r w:rsidR="00614BF5" w:rsidRPr="003710A9">
        <w:t>noviembre</w:t>
      </w:r>
      <w:r w:rsidR="0043744A" w:rsidRPr="003710A9">
        <w:t xml:space="preserve"> 2025</w:t>
      </w:r>
      <w:bookmarkEnd w:id="13"/>
      <w:bookmarkEnd w:id="14"/>
    </w:p>
    <w:p w14:paraId="0DE96DE7" w14:textId="38B4F328" w:rsidR="009B28FB" w:rsidRPr="00FA0403" w:rsidRDefault="001639DF" w:rsidP="00EE1D6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E5A2E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10E124C5" wp14:editId="12861352">
            <wp:extent cx="5971540" cy="3219450"/>
            <wp:effectExtent l="0" t="0" r="0" b="0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F7DE5D40-2616-4AFB-81DF-28B42F1A83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43DAB7" w14:textId="77777777" w:rsidR="001639DF" w:rsidRPr="00695AD4" w:rsidRDefault="001639DF" w:rsidP="001639DF">
      <w:pPr>
        <w:rPr>
          <w:rFonts w:ascii="Times New Roman" w:hAnsi="Times New Roman" w:cs="Times New Roman"/>
          <w:b/>
          <w:sz w:val="18"/>
          <w:szCs w:val="18"/>
        </w:r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</w:p>
    <w:p w14:paraId="0766FE26" w14:textId="1530A2D1" w:rsidR="001639DF" w:rsidRDefault="001639DF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5F253BF" w14:textId="77777777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1E033ADA" w14:textId="77777777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188F4C3C" w14:textId="77777777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0BBFF1D3" w14:textId="77777777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12FAE903" w14:textId="77777777" w:rsidR="00CE5A2E" w:rsidRDefault="00CE5A2E" w:rsidP="00024F5C">
      <w:pPr>
        <w:jc w:val="both"/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7C02CDF1" w14:textId="4337F434" w:rsidR="002B1F6F" w:rsidRDefault="002B1F6F" w:rsidP="002A3DC3">
      <w:pPr>
        <w:pStyle w:val="Ttulo1"/>
      </w:pPr>
      <w:bookmarkStart w:id="15" w:name="_Toc216788740"/>
      <w:r w:rsidRPr="007508C7">
        <w:t>Recuperaciones a favor del Consumidor y Usuario</w:t>
      </w:r>
      <w:bookmarkEnd w:id="15"/>
    </w:p>
    <w:p w14:paraId="2457FC81" w14:textId="77777777" w:rsidR="00B07D3A" w:rsidRPr="00B07D3A" w:rsidRDefault="00B07D3A" w:rsidP="00B07D3A"/>
    <w:p w14:paraId="42C21AE9" w14:textId="29B8B22C" w:rsidR="00730837" w:rsidRPr="00CE5A2E" w:rsidRDefault="002B1F6F" w:rsidP="00CE5A2E">
      <w:pPr>
        <w:tabs>
          <w:tab w:val="left" w:pos="737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4025AF" w:rsidRPr="00FA0403">
        <w:rPr>
          <w:rFonts w:ascii="Times New Roman" w:hAnsi="Times New Roman" w:cs="Times New Roman"/>
          <w:sz w:val="22"/>
          <w:szCs w:val="22"/>
        </w:rPr>
        <w:t xml:space="preserve">lo </w:t>
      </w:r>
      <w:r w:rsidR="0043744A" w:rsidRPr="00FA0403">
        <w:rPr>
          <w:rFonts w:ascii="Times New Roman" w:hAnsi="Times New Roman" w:cs="Times New Roman"/>
          <w:sz w:val="22"/>
          <w:szCs w:val="22"/>
        </w:rPr>
        <w:t>que</w:t>
      </w:r>
      <w:r w:rsidR="0043744A">
        <w:rPr>
          <w:rFonts w:ascii="Times New Roman" w:hAnsi="Times New Roman" w:cs="Times New Roman"/>
          <w:sz w:val="22"/>
          <w:szCs w:val="22"/>
        </w:rPr>
        <w:t xml:space="preserve"> va </w:t>
      </w:r>
      <w:r w:rsidR="004025AF" w:rsidRPr="00FA0403">
        <w:rPr>
          <w:rFonts w:ascii="Times New Roman" w:hAnsi="Times New Roman" w:cs="Times New Roman"/>
          <w:sz w:val="22"/>
          <w:szCs w:val="22"/>
        </w:rPr>
        <w:t>del año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derivado de las intervenciones de diferentes unidades de esta Dirección, </w:t>
      </w:r>
      <w:r w:rsidR="0075305F" w:rsidRPr="00FA0403">
        <w:rPr>
          <w:rFonts w:ascii="Times New Roman" w:hAnsi="Times New Roman" w:cs="Times New Roman"/>
          <w:sz w:val="22"/>
          <w:szCs w:val="22"/>
        </w:rPr>
        <w:t>se recuperaron</w:t>
      </w:r>
      <w:r w:rsidRPr="00FA0403">
        <w:rPr>
          <w:rFonts w:ascii="Times New Roman" w:hAnsi="Times New Roman" w:cs="Times New Roman"/>
          <w:sz w:val="22"/>
          <w:szCs w:val="22"/>
        </w:rPr>
        <w:t xml:space="preserve"> a favor de los consumidores</w:t>
      </w:r>
      <w:r w:rsidR="00895206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usuarios</w:t>
      </w:r>
      <w:r w:rsidR="005A6D8E" w:rsidRPr="00FA0403">
        <w:rPr>
          <w:rFonts w:ascii="Times New Roman" w:hAnsi="Times New Roman" w:cs="Times New Roman"/>
          <w:sz w:val="22"/>
          <w:szCs w:val="22"/>
        </w:rPr>
        <w:t xml:space="preserve"> y tarjetahabientes</w:t>
      </w:r>
      <w:r w:rsidRPr="00FA0403">
        <w:rPr>
          <w:rFonts w:ascii="Times New Roman" w:hAnsi="Times New Roman" w:cs="Times New Roman"/>
          <w:sz w:val="22"/>
          <w:szCs w:val="22"/>
        </w:rPr>
        <w:t>, la cantidad de</w:t>
      </w:r>
      <w:r w:rsidR="008A384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CA4A1F" w:rsidRPr="00FA0403">
        <w:rPr>
          <w:rFonts w:ascii="Times New Roman" w:hAnsi="Times New Roman" w:cs="Times New Roman"/>
          <w:sz w:val="22"/>
          <w:szCs w:val="22"/>
        </w:rPr>
        <w:t xml:space="preserve">treinta y cuatro </w:t>
      </w:r>
      <w:r w:rsidR="00A152B5" w:rsidRPr="00FA0403">
        <w:rPr>
          <w:rFonts w:ascii="Times New Roman" w:hAnsi="Times New Roman" w:cs="Times New Roman"/>
          <w:sz w:val="22"/>
          <w:szCs w:val="22"/>
        </w:rPr>
        <w:t>millones</w:t>
      </w:r>
      <w:r w:rsidR="00141D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CA4A1F" w:rsidRPr="00FA0403">
        <w:rPr>
          <w:rFonts w:ascii="Times New Roman" w:hAnsi="Times New Roman" w:cs="Times New Roman"/>
          <w:sz w:val="22"/>
          <w:szCs w:val="22"/>
        </w:rPr>
        <w:t>sesenta y un</w:t>
      </w:r>
      <w:r w:rsidR="00670566" w:rsidRPr="00FA0403">
        <w:rPr>
          <w:rFonts w:ascii="Times New Roman" w:hAnsi="Times New Roman" w:cs="Times New Roman"/>
          <w:sz w:val="22"/>
          <w:szCs w:val="22"/>
        </w:rPr>
        <w:t xml:space="preserve"> mil </w:t>
      </w:r>
      <w:r w:rsidR="009C2DCA" w:rsidRPr="00FA0403">
        <w:rPr>
          <w:rFonts w:ascii="Times New Roman" w:hAnsi="Times New Roman" w:cs="Times New Roman"/>
          <w:sz w:val="22"/>
          <w:szCs w:val="22"/>
        </w:rPr>
        <w:t xml:space="preserve">novecientos </w:t>
      </w:r>
      <w:r w:rsidR="00CA4A1F" w:rsidRPr="00FA0403">
        <w:rPr>
          <w:rFonts w:ascii="Times New Roman" w:hAnsi="Times New Roman" w:cs="Times New Roman"/>
          <w:sz w:val="22"/>
          <w:szCs w:val="22"/>
        </w:rPr>
        <w:t>tres</w:t>
      </w:r>
      <w:r w:rsidR="00B829F9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quetzales con </w:t>
      </w:r>
      <w:r w:rsidR="00CA4A1F" w:rsidRPr="00FA0403">
        <w:rPr>
          <w:rFonts w:ascii="Times New Roman" w:hAnsi="Times New Roman" w:cs="Times New Roman"/>
          <w:sz w:val="22"/>
          <w:szCs w:val="22"/>
        </w:rPr>
        <w:t>treinta</w:t>
      </w:r>
      <w:r w:rsidR="009C2DCA" w:rsidRPr="00FA0403">
        <w:rPr>
          <w:rFonts w:ascii="Times New Roman" w:hAnsi="Times New Roman" w:cs="Times New Roman"/>
          <w:sz w:val="22"/>
          <w:szCs w:val="22"/>
        </w:rPr>
        <w:t xml:space="preserve"> y siete</w:t>
      </w:r>
      <w:r w:rsidR="00161FF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centavos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(Q.</w:t>
      </w:r>
      <w:r w:rsidR="00CA4A1F" w:rsidRPr="00FA0403">
        <w:rPr>
          <w:rFonts w:ascii="Times New Roman" w:hAnsi="Times New Roman" w:cs="Times New Roman"/>
          <w:sz w:val="22"/>
          <w:szCs w:val="22"/>
        </w:rPr>
        <w:t>34,061,903.37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). </w:t>
      </w:r>
      <w:r w:rsidR="009F010C" w:rsidRPr="00FA0403">
        <w:rPr>
          <w:rFonts w:ascii="Times New Roman" w:hAnsi="Times New Roman" w:cs="Times New Roman"/>
          <w:sz w:val="22"/>
          <w:szCs w:val="22"/>
        </w:rPr>
        <w:t>El monto</w:t>
      </w:r>
      <w:r w:rsidR="007A116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5305F" w:rsidRPr="00FA0403">
        <w:rPr>
          <w:rFonts w:ascii="Times New Roman" w:hAnsi="Times New Roman" w:cs="Times New Roman"/>
          <w:sz w:val="22"/>
          <w:szCs w:val="22"/>
        </w:rPr>
        <w:t>indicado, se</w:t>
      </w:r>
      <w:r w:rsidR="00D81F8A" w:rsidRPr="00FA0403">
        <w:rPr>
          <w:rFonts w:ascii="Times New Roman" w:hAnsi="Times New Roman" w:cs="Times New Roman"/>
          <w:sz w:val="22"/>
          <w:szCs w:val="22"/>
        </w:rPr>
        <w:t xml:space="preserve"> desglosa de la siguiente manera: en la </w:t>
      </w:r>
      <w:r w:rsidRPr="00FA0403">
        <w:rPr>
          <w:rFonts w:ascii="Times New Roman" w:hAnsi="Times New Roman" w:cs="Times New Roman"/>
          <w:sz w:val="22"/>
          <w:szCs w:val="22"/>
        </w:rPr>
        <w:t>Sede Central Q</w:t>
      </w:r>
      <w:r w:rsidR="004E243D" w:rsidRPr="00FA0403">
        <w:rPr>
          <w:rFonts w:ascii="Times New Roman" w:hAnsi="Times New Roman" w:cs="Times New Roman"/>
          <w:sz w:val="22"/>
          <w:szCs w:val="22"/>
        </w:rPr>
        <w:t>.</w:t>
      </w:r>
      <w:r w:rsidR="00CA4A1F" w:rsidRPr="00FA0403">
        <w:rPr>
          <w:rFonts w:ascii="Times New Roman" w:hAnsi="Times New Roman" w:cs="Times New Roman"/>
          <w:sz w:val="22"/>
          <w:szCs w:val="22"/>
        </w:rPr>
        <w:t>29,492,920.12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las Sedes Departamentales Q.</w:t>
      </w:r>
      <w:r w:rsidR="00CA4A1F" w:rsidRPr="00FA0403">
        <w:rPr>
          <w:rFonts w:ascii="Times New Roman" w:hAnsi="Times New Roman" w:cs="Times New Roman"/>
          <w:sz w:val="22"/>
          <w:szCs w:val="22"/>
        </w:rPr>
        <w:t>4,568,983.25</w:t>
      </w:r>
      <w:r w:rsidR="005E077E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como se puede apreciar en el cuadro siguiente:</w:t>
      </w:r>
    </w:p>
    <w:p w14:paraId="306C21BF" w14:textId="77777777" w:rsidR="00730837" w:rsidRPr="00FA0403" w:rsidRDefault="00730837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AA459" w14:textId="10EA8D10" w:rsidR="002865CB" w:rsidRPr="001D5871" w:rsidRDefault="002B1F6F" w:rsidP="001D5871">
      <w:pPr>
        <w:pStyle w:val="Tablas"/>
      </w:pPr>
      <w:bookmarkStart w:id="16" w:name="_Toc216797435"/>
      <w:r w:rsidRPr="001D5871">
        <w:t xml:space="preserve">Cuadro </w:t>
      </w:r>
      <w:r w:rsidR="00051523" w:rsidRPr="001D5871">
        <w:t>9</w:t>
      </w:r>
      <w:r w:rsidR="00D51870" w:rsidRPr="001D5871">
        <w:t xml:space="preserve">: </w:t>
      </w:r>
      <w:r w:rsidRPr="001D5871">
        <w:t>Recuperaciones a favor del Consumidor y Usuario</w:t>
      </w:r>
      <w:r w:rsidR="00B07D3A" w:rsidRPr="001D5871">
        <w:t>,</w:t>
      </w:r>
      <w:r w:rsidR="00730837" w:rsidRPr="001D5871">
        <w:t xml:space="preserve"> </w:t>
      </w:r>
      <w:r w:rsidR="00614BF5" w:rsidRPr="001D5871">
        <w:t>e</w:t>
      </w:r>
      <w:r w:rsidR="00020B53" w:rsidRPr="001D5871">
        <w:t>nero</w:t>
      </w:r>
      <w:r w:rsidR="00614BF5" w:rsidRPr="001D5871">
        <w:t xml:space="preserve"> </w:t>
      </w:r>
      <w:r w:rsidR="00020B53" w:rsidRPr="001D5871">
        <w:t>–</w:t>
      </w:r>
      <w:r w:rsidR="00614BF5" w:rsidRPr="001D5871">
        <w:t xml:space="preserve"> n</w:t>
      </w:r>
      <w:r w:rsidR="00684E38" w:rsidRPr="001D5871">
        <w:t>oviembre</w:t>
      </w:r>
      <w:r w:rsidR="00020B53" w:rsidRPr="001D5871">
        <w:t xml:space="preserve"> 2025</w:t>
      </w:r>
      <w:bookmarkEnd w:id="16"/>
      <w:r w:rsidRPr="001D587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24"/>
        <w:gridCol w:w="1135"/>
        <w:gridCol w:w="1129"/>
        <w:gridCol w:w="1137"/>
        <w:gridCol w:w="1272"/>
        <w:gridCol w:w="1152"/>
        <w:gridCol w:w="1157"/>
      </w:tblGrid>
      <w:tr w:rsidR="00730837" w:rsidRPr="00971AB1" w14:paraId="78039383" w14:textId="77777777" w:rsidTr="00A26DEF">
        <w:trPr>
          <w:trHeight w:val="340"/>
          <w:tblHeader/>
        </w:trPr>
        <w:tc>
          <w:tcPr>
            <w:tcW w:w="526" w:type="pct"/>
            <w:shd w:val="clear" w:color="auto" w:fill="8EAADB" w:themeFill="accent1" w:themeFillTint="99"/>
            <w:vAlign w:val="center"/>
            <w:hideMark/>
          </w:tcPr>
          <w:p w14:paraId="47FAD16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MES</w:t>
            </w:r>
          </w:p>
        </w:tc>
        <w:tc>
          <w:tcPr>
            <w:tcW w:w="758" w:type="pct"/>
            <w:shd w:val="clear" w:color="auto" w:fill="8EAADB" w:themeFill="accent1" w:themeFillTint="99"/>
            <w:vAlign w:val="center"/>
            <w:hideMark/>
          </w:tcPr>
          <w:p w14:paraId="7C412C3E" w14:textId="578F0AB3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DESCRIPCIÓN </w:t>
            </w:r>
          </w:p>
        </w:tc>
        <w:tc>
          <w:tcPr>
            <w:tcW w:w="604" w:type="pct"/>
            <w:shd w:val="clear" w:color="auto" w:fill="8EAADB" w:themeFill="accent1" w:themeFillTint="99"/>
            <w:vAlign w:val="center"/>
            <w:hideMark/>
          </w:tcPr>
          <w:p w14:paraId="6B4B4B12" w14:textId="77777777" w:rsidR="00971AB1" w:rsidRPr="00F561D6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F561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SERVICIOS AL CONSUMIDOR</w:t>
            </w:r>
          </w:p>
        </w:tc>
        <w:tc>
          <w:tcPr>
            <w:tcW w:w="601" w:type="pct"/>
            <w:shd w:val="clear" w:color="auto" w:fill="8EAADB" w:themeFill="accent1" w:themeFillTint="99"/>
            <w:vAlign w:val="center"/>
            <w:hideMark/>
          </w:tcPr>
          <w:p w14:paraId="428BD7D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DEPTO. LEGAL</w:t>
            </w:r>
          </w:p>
        </w:tc>
        <w:tc>
          <w:tcPr>
            <w:tcW w:w="605" w:type="pct"/>
            <w:shd w:val="clear" w:color="auto" w:fill="8EAADB" w:themeFill="accent1" w:themeFillTint="99"/>
            <w:vAlign w:val="center"/>
            <w:hideMark/>
          </w:tcPr>
          <w:p w14:paraId="09E34485" w14:textId="77777777" w:rsidR="00971AB1" w:rsidRPr="00F561D6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F561D6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VERIFICACIÓN Y VIGILANCIA</w:t>
            </w:r>
          </w:p>
        </w:tc>
        <w:tc>
          <w:tcPr>
            <w:tcW w:w="677" w:type="pct"/>
            <w:shd w:val="clear" w:color="auto" w:fill="8EAADB" w:themeFill="accent1" w:themeFillTint="99"/>
            <w:vAlign w:val="center"/>
            <w:hideMark/>
          </w:tcPr>
          <w:p w14:paraId="6EC862C1" w14:textId="03E32C03" w:rsidR="00971AB1" w:rsidRPr="00971AB1" w:rsidRDefault="008C3DDF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TOTAL,</w:t>
            </w:r>
            <w:r w:rsidR="00B07D3A"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B07D3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SEDE</w:t>
            </w:r>
            <w:r w:rsidR="00971AB1"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CENTRAL</w:t>
            </w:r>
          </w:p>
        </w:tc>
        <w:tc>
          <w:tcPr>
            <w:tcW w:w="613" w:type="pct"/>
            <w:shd w:val="clear" w:color="auto" w:fill="8EAADB" w:themeFill="accent1" w:themeFillTint="99"/>
            <w:vAlign w:val="center"/>
            <w:hideMark/>
          </w:tcPr>
          <w:p w14:paraId="1881680C" w14:textId="77777777" w:rsidR="00971AB1" w:rsidRPr="00252358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25235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DEPTO. COORDINACIÓN DE SEDES</w:t>
            </w:r>
          </w:p>
        </w:tc>
        <w:tc>
          <w:tcPr>
            <w:tcW w:w="616" w:type="pct"/>
            <w:shd w:val="clear" w:color="auto" w:fill="8EAADB" w:themeFill="accent1" w:themeFillTint="99"/>
            <w:vAlign w:val="center"/>
            <w:hideMark/>
          </w:tcPr>
          <w:p w14:paraId="3781576C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</w:p>
        </w:tc>
      </w:tr>
      <w:tr w:rsidR="00CE5A2E" w:rsidRPr="00971AB1" w14:paraId="1FD94A81" w14:textId="77777777" w:rsidTr="00A26DEF">
        <w:trPr>
          <w:trHeight w:val="340"/>
        </w:trPr>
        <w:tc>
          <w:tcPr>
            <w:tcW w:w="526" w:type="pct"/>
            <w:shd w:val="clear" w:color="auto" w:fill="auto"/>
            <w:vAlign w:val="center"/>
            <w:hideMark/>
          </w:tcPr>
          <w:p w14:paraId="3C3EFB28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735FD07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4D38EB0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1B9D648E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0275C7A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0113735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23C7AD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vAlign w:val="center"/>
            <w:hideMark/>
          </w:tcPr>
          <w:p w14:paraId="45426995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CE5A2E" w:rsidRPr="00971AB1" w14:paraId="7321D60C" w14:textId="77777777" w:rsidTr="00A26DEF">
        <w:trPr>
          <w:trHeight w:val="340"/>
        </w:trPr>
        <w:tc>
          <w:tcPr>
            <w:tcW w:w="526" w:type="pct"/>
            <w:shd w:val="clear" w:color="auto" w:fill="auto"/>
            <w:vAlign w:val="center"/>
            <w:hideMark/>
          </w:tcPr>
          <w:p w14:paraId="6E0BF460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BAB0BF2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4BF6338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397,254.44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3F23C27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920,273.06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59E85C2B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257,324.05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224D103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1,574,851.55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19732F7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19,387.05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2EFC33C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1,594,238.60</w:t>
            </w:r>
          </w:p>
        </w:tc>
      </w:tr>
      <w:tr w:rsidR="00CE5A2E" w:rsidRPr="00971AB1" w14:paraId="142EAAFE" w14:textId="77777777" w:rsidTr="00A26DEF">
        <w:trPr>
          <w:trHeight w:val="340"/>
        </w:trPr>
        <w:tc>
          <w:tcPr>
            <w:tcW w:w="526" w:type="pct"/>
            <w:shd w:val="clear" w:color="auto" w:fill="auto"/>
            <w:vAlign w:val="center"/>
            <w:hideMark/>
          </w:tcPr>
          <w:p w14:paraId="741D70EF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882744A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del Bien/Servicio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FB4114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510,445.64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2A0794D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138,926.27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7FE5602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43,199.00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1DA6C1E3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692,570.91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2168F5E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277,445.25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2AEBA52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970,016.16</w:t>
            </w:r>
          </w:p>
        </w:tc>
      </w:tr>
      <w:tr w:rsidR="00CE5A2E" w:rsidRPr="00971AB1" w14:paraId="4089F086" w14:textId="77777777" w:rsidTr="00A26DEF">
        <w:trPr>
          <w:trHeight w:val="340"/>
        </w:trPr>
        <w:tc>
          <w:tcPr>
            <w:tcW w:w="526" w:type="pct"/>
            <w:shd w:val="clear" w:color="auto" w:fill="auto"/>
            <w:vAlign w:val="center"/>
            <w:hideMark/>
          </w:tcPr>
          <w:p w14:paraId="5D628586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7A948D0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14:paraId="245B12F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93,480.00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14:paraId="54F2E7BE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05B13A5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7B17FF0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93,480.00</w:t>
            </w:r>
          </w:p>
        </w:tc>
        <w:tc>
          <w:tcPr>
            <w:tcW w:w="613" w:type="pct"/>
            <w:shd w:val="clear" w:color="auto" w:fill="auto"/>
            <w:vAlign w:val="center"/>
            <w:hideMark/>
          </w:tcPr>
          <w:p w14:paraId="629FD78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718.00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91C5F8A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94,198.00</w:t>
            </w:r>
          </w:p>
        </w:tc>
      </w:tr>
      <w:tr w:rsidR="00730837" w:rsidRPr="00971AB1" w14:paraId="5DB3E4A4" w14:textId="77777777" w:rsidTr="00A26DEF">
        <w:trPr>
          <w:trHeight w:val="340"/>
        </w:trPr>
        <w:tc>
          <w:tcPr>
            <w:tcW w:w="526" w:type="pct"/>
            <w:shd w:val="clear" w:color="auto" w:fill="auto"/>
            <w:vAlign w:val="center"/>
            <w:hideMark/>
          </w:tcPr>
          <w:p w14:paraId="06DD11C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69FFFBF9" w14:textId="77777777" w:rsidR="00971AB1" w:rsidRPr="00FA745A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1C7262E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1,001,180.08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6B4879BA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1,059,199.33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5672B78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300,523.05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09F8741E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2,360,902.46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1B8B58D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297,550.30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4BDC4E4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2,658,452.76</w:t>
            </w:r>
          </w:p>
        </w:tc>
      </w:tr>
      <w:tr w:rsidR="00CE5A2E" w:rsidRPr="00971AB1" w14:paraId="63F12AB2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957422A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Febrero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3923641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1B380BCB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0293CB8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590B2DBE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CE6B62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9E5DD3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265516A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 </w:t>
            </w:r>
          </w:p>
        </w:tc>
      </w:tr>
      <w:tr w:rsidR="00CE5A2E" w:rsidRPr="00971AB1" w14:paraId="4B797D6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5FFCAAD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10F2AC9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DE935F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398,520.85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6C903FF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379,479.66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8AB4CB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311,937.23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EAAE4B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1,089,937.74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D153153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102,514.04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11205E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1,192,451.78</w:t>
            </w:r>
          </w:p>
        </w:tc>
      </w:tr>
      <w:tr w:rsidR="00CE5A2E" w:rsidRPr="00971AB1" w14:paraId="67F96D7C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ECDD13C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8E0B056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ED975EF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139,648.50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78E2F7C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118,373.39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54C083D5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88E6FC5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258,021.89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B62E04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170,964.55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B42426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428,986.44</w:t>
            </w:r>
          </w:p>
        </w:tc>
      </w:tr>
      <w:tr w:rsidR="00CE5A2E" w:rsidRPr="00971AB1" w14:paraId="22C25F2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6EA1DC3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E84BB60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5151D2F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216,000.00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60D363F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13E6BBC6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BE46D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216,000.00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FB06A8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1,378.00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DF31D92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217,378.00</w:t>
            </w:r>
          </w:p>
        </w:tc>
      </w:tr>
      <w:tr w:rsidR="00730837" w:rsidRPr="00971AB1" w14:paraId="5D22882B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5C9316A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6279659B" w14:textId="77777777" w:rsidR="00971AB1" w:rsidRPr="00FA745A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663BCAB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754,169.35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1EDBCAE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497,853.05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7104019E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311,937.23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41BEF45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1,563,959.63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5B0CE2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274,856.59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7AE27800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1,838,816.22</w:t>
            </w:r>
          </w:p>
        </w:tc>
      </w:tr>
      <w:tr w:rsidR="00CE5A2E" w:rsidRPr="00971AB1" w14:paraId="163D7E21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0CEB051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44ECCF8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E1A331D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E27C464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6A5F68A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7EFC72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4B8E84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4B3F150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 </w:t>
            </w:r>
          </w:p>
        </w:tc>
      </w:tr>
      <w:tr w:rsidR="00CE5A2E" w:rsidRPr="00971AB1" w14:paraId="3BE458AD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01C7953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F674DF9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9274E14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406,118.11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3EB429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621,244.30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13664EDC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368,239.82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6EC03A5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1,395,602.23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754B3D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238,534.14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845CAE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1,634,136.37</w:t>
            </w:r>
          </w:p>
        </w:tc>
      </w:tr>
      <w:tr w:rsidR="00CE5A2E" w:rsidRPr="00971AB1" w14:paraId="072E3673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22ABA0B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C2FFFA0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86E8FD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340,044.54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491088B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150,762.54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6B018360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419F3A2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490,807.08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2A46E22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302,346.53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921F7D9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793,153.61</w:t>
            </w:r>
          </w:p>
        </w:tc>
      </w:tr>
      <w:tr w:rsidR="00CE5A2E" w:rsidRPr="00971AB1" w14:paraId="7FF5B43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2EB7B80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EED86EF" w14:textId="77777777" w:rsidR="00971AB1" w:rsidRPr="00FA745A" w:rsidRDefault="00971AB1" w:rsidP="00971A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95E69D3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168,400.00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60E85D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16306551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9AB855A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168,400.00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427BEF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27,553.50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3D6BBF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195,953.50</w:t>
            </w:r>
          </w:p>
        </w:tc>
      </w:tr>
      <w:tr w:rsidR="00730837" w:rsidRPr="00971AB1" w14:paraId="1964FE62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100F98BF" w14:textId="77777777" w:rsidR="00971AB1" w:rsidRPr="00971AB1" w:rsidRDefault="00971AB1" w:rsidP="00971AB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4163871E" w14:textId="77777777" w:rsidR="00971AB1" w:rsidRPr="00FA745A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2243586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914,562.65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0CA40EDD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772,006.84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0CDAEFC8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368,239.82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462D87AC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2,054,809.31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BBABE47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568,434.17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2622A01B" w14:textId="77777777" w:rsidR="00971AB1" w:rsidRPr="00971AB1" w:rsidRDefault="00971AB1" w:rsidP="0097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71A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2,623,243.48</w:t>
            </w:r>
          </w:p>
        </w:tc>
      </w:tr>
      <w:tr w:rsidR="00730837" w:rsidRPr="00AC5D0D" w14:paraId="1EE5ED6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C2B78F1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Abril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ACB8DD2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E0C63B7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C5A46A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E56944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83F0A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2B4876B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2BBEFA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AC5D0D" w14:paraId="2DCC16F4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5D24FED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051356E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67B7A0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187,912.61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A0539C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385,965.50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58776D1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537,714.44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8E607BE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1,111,592.55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0BC3D95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58,696.67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376C0B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1,170,289.22</w:t>
            </w:r>
          </w:p>
        </w:tc>
      </w:tr>
      <w:tr w:rsidR="00730837" w:rsidRPr="00AC5D0D" w14:paraId="4A12466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09996CD4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lastRenderedPageBreak/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DF0C0DA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823621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120,455.13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07789C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130,173.99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04ECE3A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E6EB3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250,629.12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BD9947E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77,793.78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522909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328,422.90</w:t>
            </w:r>
          </w:p>
        </w:tc>
      </w:tr>
      <w:tr w:rsidR="00730837" w:rsidRPr="00AC5D0D" w14:paraId="161C51DF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A23AAF8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0562C5DD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94D53A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68DFEA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06E811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A5A3873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234748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48,473.38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1668C2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48,473.38</w:t>
            </w:r>
          </w:p>
        </w:tc>
      </w:tr>
      <w:tr w:rsidR="00730837" w:rsidRPr="00AC5D0D" w14:paraId="09D3BE74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577DA257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09C9C4A4" w14:textId="77777777" w:rsidR="00AC5D0D" w:rsidRPr="00FA745A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1C8983A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308,367.74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628D2AE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516,139.49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5CB3124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537,714.44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5CD19A31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1,362,221.67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7015268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184,963.83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7675373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1,547,185.50</w:t>
            </w:r>
          </w:p>
        </w:tc>
      </w:tr>
      <w:tr w:rsidR="00730837" w:rsidRPr="00AC5D0D" w14:paraId="013A4A50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B3E25A9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Mayo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A377CBE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DB94F46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92330DB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6616284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14537B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5D3832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5B578B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AC5D0D" w14:paraId="73A1CEF4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3441983C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5379FFFA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A5DF86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339,773.29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20FF3E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2,059,646.24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90C558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751,441.65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93B1FB8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3,150,861.18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C3CCEB3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179,668.20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3D2A8C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3,330,529.38</w:t>
            </w:r>
          </w:p>
        </w:tc>
      </w:tr>
      <w:tr w:rsidR="00730837" w:rsidRPr="00AC5D0D" w14:paraId="18C9FE46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218D5FCD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7A10A5F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817C29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523,204.35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291F4A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68,813.00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0463689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AF112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592,017.35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B3147B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144,819.97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C99868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736,837.32</w:t>
            </w:r>
          </w:p>
        </w:tc>
      </w:tr>
      <w:tr w:rsidR="00730837" w:rsidRPr="00AC5D0D" w14:paraId="6FFAD7D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82C7D21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DC90937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47385F5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56,982.50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EE6CEF5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79E8DB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B01B2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56,982.50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70F318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CEC4AB5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56,982.50</w:t>
            </w:r>
          </w:p>
        </w:tc>
      </w:tr>
      <w:tr w:rsidR="00730837" w:rsidRPr="00AC5D0D" w14:paraId="4D38B57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5376E5C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3A9180AF" w14:textId="77777777" w:rsidR="00AC5D0D" w:rsidRPr="00FA745A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7B029B6D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919,960.14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2E11AD58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2,128,459.24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7733CF7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751,441.65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19AB523D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3,799,861.03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C7EBC9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324,488.17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05168D55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4,124,349.20</w:t>
            </w:r>
          </w:p>
        </w:tc>
      </w:tr>
      <w:tr w:rsidR="00730837" w:rsidRPr="00AC5D0D" w14:paraId="34DDDD2B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39784C8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Junio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6CDB69D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CE3633B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A6278C6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EBFE91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5E1B28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C44947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E0159C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AC5D0D" w14:paraId="794E17F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3E7A851A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7D50FF0C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7556FF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459,154.31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3B41857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1,219,524.52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F168663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264,608.95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2E7A6E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1,943,287.78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81B882D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63,572.52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3442BB8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2,006,860.30</w:t>
            </w:r>
          </w:p>
        </w:tc>
      </w:tr>
      <w:tr w:rsidR="00730837" w:rsidRPr="00AC5D0D" w14:paraId="1AA9CED4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3FA7509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A68C27E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1FFA4F0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691,756.33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0B60E0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65,151.00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34486D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F4F83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756,907.33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EE2115E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120,408.77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1C12B5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877,316.10</w:t>
            </w:r>
          </w:p>
        </w:tc>
      </w:tr>
      <w:tr w:rsidR="00730837" w:rsidRPr="00AC5D0D" w14:paraId="0ABAF81C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F706378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5A4E53D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1FB0556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397,467.93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608AC9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55D178D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014B59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397,467.93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587C05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112,120.28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3E9C86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509,588.21</w:t>
            </w:r>
          </w:p>
        </w:tc>
      </w:tr>
      <w:tr w:rsidR="00730837" w:rsidRPr="00AC5D0D" w14:paraId="3D596D3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1CCFCF9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7011BC23" w14:textId="77777777" w:rsidR="00AC5D0D" w:rsidRPr="00FA745A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736B8931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1,548,378.57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7F7B0E0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1,284,675.52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2ED59AF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264,608.95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53A7357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3,097,663.04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0BB35D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296,101.57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390CDBC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3,393,764.61</w:t>
            </w:r>
          </w:p>
        </w:tc>
      </w:tr>
      <w:tr w:rsidR="00730837" w:rsidRPr="00AC5D0D" w14:paraId="2D9B3655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2ABFA8BB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Julio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5B8C7EE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CDABF90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EF3E9CE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0E5D4C4C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44A586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08EDC1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39D88E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AC5D0D" w14:paraId="47AFFDDF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368017DF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6B209A4E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CCC897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178,651.37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DC16521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557,313.65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6F517BD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485,465.70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09445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1,221,430.72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290B2D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37,473.79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42918F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1,258,904.51</w:t>
            </w:r>
          </w:p>
        </w:tc>
      </w:tr>
      <w:tr w:rsidR="00730837" w:rsidRPr="00AC5D0D" w14:paraId="4CA8B68A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5AB1FB0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50EB8E4F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7BF51B3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220,956.25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1AE3A8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1,962,591.65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14087303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30FA6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2,183,547.90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902463D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64,563.71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574D5452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2,248,111.61</w:t>
            </w:r>
          </w:p>
        </w:tc>
      </w:tr>
      <w:tr w:rsidR="00730837" w:rsidRPr="00AC5D0D" w14:paraId="2DECFBC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F6FA36C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8DD5786" w14:textId="77777777" w:rsidR="00AC5D0D" w:rsidRPr="00FA745A" w:rsidRDefault="00AC5D0D" w:rsidP="00AC5D0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E73A218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93,480.00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51E5AA6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888434F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8AFF9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93,480.00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57C5884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5C81D1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93,480.00</w:t>
            </w:r>
          </w:p>
        </w:tc>
      </w:tr>
      <w:tr w:rsidR="00730837" w:rsidRPr="00AC5D0D" w14:paraId="33F2CE22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784CF3F" w14:textId="77777777" w:rsidR="00AC5D0D" w:rsidRPr="00AC5D0D" w:rsidRDefault="00AC5D0D" w:rsidP="00AC5D0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3D0F93AE" w14:textId="77777777" w:rsidR="00AC5D0D" w:rsidRPr="00FA745A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19A1545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493,087.62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5D2DC7E0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2,519,905.30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4059CBA5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485,465.70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4FE648AA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3,498,458.62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07E85C9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102,037.50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20DF5CAB" w14:textId="77777777" w:rsidR="00AC5D0D" w:rsidRPr="00AC5D0D" w:rsidRDefault="00AC5D0D" w:rsidP="00AC5D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C5D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3,600,496.12</w:t>
            </w:r>
          </w:p>
        </w:tc>
      </w:tr>
      <w:tr w:rsidR="00730837" w:rsidRPr="00963DF2" w14:paraId="22AB7A9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512FEFF0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Agosto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714A959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EB18909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BE2DF9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9A9262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928C4A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C0E61C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2ECA51A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963DF2" w14:paraId="0CBD335A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278BB80C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6206420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13ADE935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245,505.78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1D857F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263,114.37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33B3840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335,311.47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8DD16E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843,931.62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4C54AC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51,287.17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FD2957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895,218.79</w:t>
            </w:r>
          </w:p>
        </w:tc>
      </w:tr>
      <w:tr w:rsidR="00730837" w:rsidRPr="00963DF2" w14:paraId="55057671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5167C8DA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5914623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013C789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825,012.38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7EC1F5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930,856.22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087A18B5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714.00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12922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1,756,582.60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167E0C25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203,006.00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7CA4B01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1,959,588.60</w:t>
            </w:r>
          </w:p>
        </w:tc>
      </w:tr>
      <w:tr w:rsidR="00730837" w:rsidRPr="00963DF2" w14:paraId="21DC30E9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D9DBD85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77C6372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9FFD4D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175,052.50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6963B4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6C6D5C4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A79D3D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175,052.50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6EC0432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24,553.04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0DD38E2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199,605.54</w:t>
            </w:r>
          </w:p>
        </w:tc>
      </w:tr>
      <w:tr w:rsidR="00730837" w:rsidRPr="00963DF2" w14:paraId="4EEBA68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74D2952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0636FDFE" w14:textId="77777777" w:rsidR="00963DF2" w:rsidRPr="00FA745A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06BAAC87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1,245,570.66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427973C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1,193,970.59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485CB1F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336,025.47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2723AAB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2,775,566.72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1E5A115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278,846.21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00581A0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3,054,412.93</w:t>
            </w:r>
          </w:p>
        </w:tc>
      </w:tr>
      <w:tr w:rsidR="00730837" w:rsidRPr="00963DF2" w14:paraId="3F7C71C4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41609263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lastRenderedPageBreak/>
              <w:t>Septiembre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30DCC62B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0AB302C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6263C59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289F7E15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09B4B1C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74146047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14:paraId="4CBE66D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963DF2" w14:paraId="0D2BD4F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4254B5D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45C8FC7C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4A8B08B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395,299.12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2DB703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368,732.96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76CA5E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272,301.34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246F8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1,036,333.42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6D81A4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537,688.25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B7546D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1,574,021.67</w:t>
            </w:r>
          </w:p>
        </w:tc>
      </w:tr>
      <w:tr w:rsidR="00730837" w:rsidRPr="00963DF2" w14:paraId="6505931E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6596C5F3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6434E586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C56353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518,780.42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2459D7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903,731.09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73B77197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F8D9C1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1,422,511.51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6A9663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453,866.14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BC3E3C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1,876,377.65</w:t>
            </w:r>
          </w:p>
        </w:tc>
      </w:tr>
      <w:tr w:rsidR="00730837" w:rsidRPr="00963DF2" w14:paraId="5CBA829D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21E9D997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234D3AB7" w14:textId="77777777" w:rsidR="00963DF2" w:rsidRPr="00FA745A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4D2558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151,200.00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428B83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5931214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CD76DB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151,200.00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F9846F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29,250.00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E84562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180,450.00</w:t>
            </w:r>
          </w:p>
        </w:tc>
      </w:tr>
      <w:tr w:rsidR="00730837" w:rsidRPr="00963DF2" w14:paraId="5ED84590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7A319BD8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5C34B35D" w14:textId="77777777" w:rsidR="00963DF2" w:rsidRPr="00FA745A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A74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SEPTIEMBRE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6CD1E76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1,065,279.54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4BA7347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1,272,464.05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6895396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272,301.34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3FC84C1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2,610,044.93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021C954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1,020,804.39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1D97AD1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3,630,849.32</w:t>
            </w:r>
          </w:p>
        </w:tc>
      </w:tr>
      <w:tr w:rsidR="00730837" w:rsidRPr="00963DF2" w14:paraId="30DCB692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29F19FF9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Octubre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3592D432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5CE3599B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8F1682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00364A2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3DC7C922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347BE6B5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14:paraId="104E8F5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963DF2" w14:paraId="0776FFD1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1E54D5F5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37A0E674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32B5D0C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200,497.02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4180817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468,324.00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8FB160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37,577.16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387C7F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706,398.18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4B0EC032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111,654.36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0FF00ED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818,052.54</w:t>
            </w:r>
          </w:p>
        </w:tc>
      </w:tr>
      <w:tr w:rsidR="00730837" w:rsidRPr="00963DF2" w14:paraId="3CAAB7FC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B40ABFF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B1342E1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2CF9ABA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710,105.21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13AC72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1,160,969.89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46F75127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8F1162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1,871,075.10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73EC3C1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314,871.83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8CB5C8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2,185,946.93</w:t>
            </w:r>
          </w:p>
        </w:tc>
      </w:tr>
      <w:tr w:rsidR="00730837" w:rsidRPr="00963DF2" w14:paraId="068F891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C6116CF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3B5025B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422819F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131,083.25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779592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11,280.00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55DCBA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A5B0FD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142,363.25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327AEE0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86,055.81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310ACE0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228,419.06</w:t>
            </w:r>
          </w:p>
        </w:tc>
      </w:tr>
      <w:tr w:rsidR="00730837" w:rsidRPr="00963DF2" w14:paraId="030AA35A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B8AEBF4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2B8ADD1D" w14:textId="77777777" w:rsidR="00963DF2" w:rsidRPr="00880170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0951637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1,041,685.48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1261ECC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1,640,573.89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51C6582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37,577.16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412FB3C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2,719,836.53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5E11495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512,582.00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58384DB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3,232,418.53</w:t>
            </w:r>
          </w:p>
        </w:tc>
      </w:tr>
      <w:tr w:rsidR="00730837" w:rsidRPr="00963DF2" w14:paraId="50D7ADE1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4A2971D0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Noviembre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3300024C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2264DDE6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12A1948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5BCCB07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569A13B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6FF2B7C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14:paraId="4D805F5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 </w:t>
            </w:r>
          </w:p>
        </w:tc>
      </w:tr>
      <w:tr w:rsidR="00730837" w:rsidRPr="00963DF2" w14:paraId="3866EEC7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D367FEE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14:paraId="2ED6BC95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Reembolso monetario / Acreditación a cuenta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7F0D61F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477,279.93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F751A2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546,607.51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0A790BB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610,272.00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0C3DC4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1,634,159.44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4E747D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408,702.29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47BCFDF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2,042,861.73</w:t>
            </w:r>
          </w:p>
        </w:tc>
      </w:tr>
      <w:tr w:rsidR="00730837" w:rsidRPr="00963DF2" w14:paraId="6C5B7826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5FE3152B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25AFFA66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Restitución de bienes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6B25E47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665,006.99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7BB433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1,277,949.75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560D4FB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19,000.00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7B72F8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1,961,956.74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29A78CB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261,327.42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1BCEECB4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2,223,284.16</w:t>
            </w:r>
          </w:p>
        </w:tc>
      </w:tr>
      <w:tr w:rsidR="00730837" w:rsidRPr="00963DF2" w14:paraId="1C54A3E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0C1D43F1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59C42B06" w14:textId="77777777" w:rsidR="00963DF2" w:rsidRPr="00880170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Rescisión de contratos</w:t>
            </w:r>
          </w:p>
        </w:tc>
        <w:tc>
          <w:tcPr>
            <w:tcW w:w="604" w:type="pct"/>
            <w:shd w:val="clear" w:color="auto" w:fill="auto"/>
            <w:noWrap/>
            <w:vAlign w:val="center"/>
            <w:hideMark/>
          </w:tcPr>
          <w:p w14:paraId="55B3610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53,480.00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D9EB0F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14:paraId="2BF903D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0.00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15742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53,480.00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14:paraId="51169BB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38,288.81</w:t>
            </w:r>
          </w:p>
        </w:tc>
        <w:tc>
          <w:tcPr>
            <w:tcW w:w="616" w:type="pct"/>
            <w:shd w:val="clear" w:color="auto" w:fill="auto"/>
            <w:noWrap/>
            <w:vAlign w:val="center"/>
            <w:hideMark/>
          </w:tcPr>
          <w:p w14:paraId="6B61A71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91,768.81</w:t>
            </w:r>
          </w:p>
        </w:tc>
      </w:tr>
      <w:tr w:rsidR="00730837" w:rsidRPr="00963DF2" w14:paraId="58BF4C3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7620C0BD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758" w:type="pct"/>
            <w:shd w:val="clear" w:color="auto" w:fill="8EAADB" w:themeFill="accent1" w:themeFillTint="99"/>
            <w:noWrap/>
            <w:vAlign w:val="center"/>
            <w:hideMark/>
          </w:tcPr>
          <w:p w14:paraId="618EFB1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4544431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1,195,766.92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66CF25C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1,824,557.26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33E9C56C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629,272.00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2A47908F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3,649,596.18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16818D00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708,318.52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030B04AE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4,357,914.70</w:t>
            </w:r>
          </w:p>
        </w:tc>
      </w:tr>
      <w:tr w:rsidR="00730837" w:rsidRPr="00963DF2" w14:paraId="31D5B168" w14:textId="77777777" w:rsidTr="00A26DEF">
        <w:trPr>
          <w:trHeight w:val="340"/>
        </w:trPr>
        <w:tc>
          <w:tcPr>
            <w:tcW w:w="526" w:type="pct"/>
            <w:shd w:val="clear" w:color="auto" w:fill="auto"/>
            <w:noWrap/>
            <w:vAlign w:val="bottom"/>
            <w:hideMark/>
          </w:tcPr>
          <w:p w14:paraId="3DDBE55A" w14:textId="77777777" w:rsidR="00963DF2" w:rsidRPr="00963DF2" w:rsidRDefault="00963DF2" w:rsidP="00880170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58" w:type="pct"/>
            <w:shd w:val="clear" w:color="auto" w:fill="auto"/>
            <w:noWrap/>
            <w:vAlign w:val="bottom"/>
            <w:hideMark/>
          </w:tcPr>
          <w:p w14:paraId="37FA727B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4" w:type="pct"/>
            <w:shd w:val="clear" w:color="auto" w:fill="auto"/>
            <w:noWrap/>
            <w:vAlign w:val="bottom"/>
            <w:hideMark/>
          </w:tcPr>
          <w:p w14:paraId="1E06A8C9" w14:textId="77777777" w:rsidR="00963DF2" w:rsidRPr="00963DF2" w:rsidRDefault="00963DF2" w:rsidP="00963D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1" w:type="pct"/>
            <w:shd w:val="clear" w:color="auto" w:fill="auto"/>
            <w:noWrap/>
            <w:vAlign w:val="bottom"/>
            <w:hideMark/>
          </w:tcPr>
          <w:p w14:paraId="0085E12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14:paraId="2B1BE04D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77" w:type="pct"/>
            <w:shd w:val="clear" w:color="auto" w:fill="auto"/>
            <w:noWrap/>
            <w:vAlign w:val="bottom"/>
            <w:hideMark/>
          </w:tcPr>
          <w:p w14:paraId="6778ADDB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3" w:type="pct"/>
            <w:shd w:val="clear" w:color="auto" w:fill="auto"/>
            <w:noWrap/>
            <w:vAlign w:val="bottom"/>
            <w:hideMark/>
          </w:tcPr>
          <w:p w14:paraId="1BB2A5A1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14:paraId="2F88E569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730837" w:rsidRPr="00963DF2" w14:paraId="36E1461E" w14:textId="77777777" w:rsidTr="00A26DEF">
        <w:trPr>
          <w:trHeight w:val="340"/>
        </w:trPr>
        <w:tc>
          <w:tcPr>
            <w:tcW w:w="1284" w:type="pct"/>
            <w:gridSpan w:val="2"/>
            <w:shd w:val="clear" w:color="auto" w:fill="8EAADB" w:themeFill="accent1" w:themeFillTint="99"/>
            <w:noWrap/>
            <w:vAlign w:val="center"/>
            <w:hideMark/>
          </w:tcPr>
          <w:p w14:paraId="6E03A876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</w:p>
        </w:tc>
        <w:tc>
          <w:tcPr>
            <w:tcW w:w="604" w:type="pct"/>
            <w:shd w:val="clear" w:color="auto" w:fill="8EAADB" w:themeFill="accent1" w:themeFillTint="99"/>
            <w:noWrap/>
            <w:vAlign w:val="center"/>
            <w:hideMark/>
          </w:tcPr>
          <w:p w14:paraId="1D62B43A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10,488,008.75</w:t>
            </w:r>
          </w:p>
        </w:tc>
        <w:tc>
          <w:tcPr>
            <w:tcW w:w="601" w:type="pct"/>
            <w:shd w:val="clear" w:color="auto" w:fill="8EAADB" w:themeFill="accent1" w:themeFillTint="99"/>
            <w:noWrap/>
            <w:vAlign w:val="center"/>
            <w:hideMark/>
          </w:tcPr>
          <w:p w14:paraId="6EA8C43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14,709,804.56</w:t>
            </w:r>
          </w:p>
        </w:tc>
        <w:tc>
          <w:tcPr>
            <w:tcW w:w="605" w:type="pct"/>
            <w:shd w:val="clear" w:color="auto" w:fill="8EAADB" w:themeFill="accent1" w:themeFillTint="99"/>
            <w:noWrap/>
            <w:vAlign w:val="center"/>
            <w:hideMark/>
          </w:tcPr>
          <w:p w14:paraId="5B7BBC0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4,295,106.81</w:t>
            </w:r>
          </w:p>
        </w:tc>
        <w:tc>
          <w:tcPr>
            <w:tcW w:w="677" w:type="pct"/>
            <w:shd w:val="clear" w:color="auto" w:fill="8EAADB" w:themeFill="accent1" w:themeFillTint="99"/>
            <w:noWrap/>
            <w:vAlign w:val="center"/>
            <w:hideMark/>
          </w:tcPr>
          <w:p w14:paraId="34E96123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29,492,920.12</w:t>
            </w:r>
          </w:p>
        </w:tc>
        <w:tc>
          <w:tcPr>
            <w:tcW w:w="613" w:type="pct"/>
            <w:shd w:val="clear" w:color="auto" w:fill="8EAADB" w:themeFill="accent1" w:themeFillTint="99"/>
            <w:noWrap/>
            <w:vAlign w:val="center"/>
            <w:hideMark/>
          </w:tcPr>
          <w:p w14:paraId="78405A92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4,568,983.25</w:t>
            </w:r>
          </w:p>
        </w:tc>
        <w:tc>
          <w:tcPr>
            <w:tcW w:w="616" w:type="pct"/>
            <w:shd w:val="clear" w:color="auto" w:fill="8EAADB" w:themeFill="accent1" w:themeFillTint="99"/>
            <w:noWrap/>
            <w:vAlign w:val="center"/>
            <w:hideMark/>
          </w:tcPr>
          <w:p w14:paraId="57DF9198" w14:textId="77777777" w:rsidR="00963DF2" w:rsidRPr="00963DF2" w:rsidRDefault="00963DF2" w:rsidP="00963D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963D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34,061,903.37</w:t>
            </w:r>
          </w:p>
        </w:tc>
      </w:tr>
    </w:tbl>
    <w:p w14:paraId="61BB17FC" w14:textId="13C0C696" w:rsidR="00ED45BD" w:rsidRDefault="00C84913" w:rsidP="00C84913">
      <w:pPr>
        <w:rPr>
          <w:rFonts w:ascii="Times New Roman" w:hAnsi="Times New Roman" w:cs="Times New Roman"/>
          <w:sz w:val="18"/>
          <w:szCs w:val="18"/>
        </w:rPr>
        <w:sectPr w:rsidR="00ED45BD" w:rsidSect="009B299C">
          <w:headerReference w:type="default" r:id="rId9"/>
          <w:footerReference w:type="default" r:id="rId10"/>
          <w:pgSz w:w="12240" w:h="15840" w:code="1"/>
          <w:pgMar w:top="1418" w:right="1418" w:bottom="1588" w:left="1418" w:header="709" w:footer="709" w:gutter="0"/>
          <w:cols w:space="708"/>
          <w:docGrid w:linePitch="360"/>
        </w:sectPr>
      </w:pPr>
      <w:r w:rsidRPr="00695AD4">
        <w:rPr>
          <w:rFonts w:ascii="Times New Roman" w:hAnsi="Times New Roman" w:cs="Times New Roman"/>
          <w:sz w:val="18"/>
          <w:szCs w:val="18"/>
        </w:rPr>
        <w:t>Fuente: Departamentos de Servicios al Consumidor, Legal, Verificación y Vigilancia, UPSF y Departamento de Coordinación de Sedes</w:t>
      </w:r>
      <w:r w:rsidR="00D51870">
        <w:rPr>
          <w:rFonts w:ascii="Times New Roman" w:hAnsi="Times New Roman" w:cs="Times New Roman"/>
          <w:sz w:val="18"/>
          <w:szCs w:val="18"/>
        </w:rPr>
        <w:t>.</w:t>
      </w:r>
    </w:p>
    <w:p w14:paraId="1FE06B1C" w14:textId="4F09698E" w:rsidR="00C84913" w:rsidRDefault="00C84913" w:rsidP="00C84913">
      <w:pPr>
        <w:rPr>
          <w:rFonts w:ascii="Times New Roman" w:hAnsi="Times New Roman" w:cs="Times New Roman"/>
          <w:sz w:val="18"/>
          <w:szCs w:val="18"/>
        </w:rPr>
      </w:pPr>
    </w:p>
    <w:p w14:paraId="096F7A0A" w14:textId="54BB39E5" w:rsidR="00ED45BD" w:rsidRPr="00695AD4" w:rsidRDefault="00ED45BD" w:rsidP="00C84913">
      <w:pPr>
        <w:rPr>
          <w:rFonts w:ascii="Times New Roman" w:hAnsi="Times New Roman" w:cs="Times New Roman"/>
          <w:b/>
          <w:sz w:val="18"/>
          <w:szCs w:val="18"/>
        </w:rPr>
      </w:pPr>
    </w:p>
    <w:p w14:paraId="5231299A" w14:textId="4315EA16" w:rsidR="00852220" w:rsidRDefault="00852220" w:rsidP="00D8357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6438569" w14:textId="182EDB19" w:rsidR="00D83574" w:rsidRPr="003710A9" w:rsidRDefault="00D12194" w:rsidP="003710A9">
      <w:pPr>
        <w:pStyle w:val="Graficas"/>
      </w:pPr>
      <w:bookmarkStart w:id="17" w:name="_Toc216799816"/>
      <w:bookmarkStart w:id="18" w:name="_Toc216800260"/>
      <w:r w:rsidRPr="008D3567">
        <w:rPr>
          <w:noProof/>
          <w:sz w:val="22"/>
          <w:szCs w:val="22"/>
        </w:rPr>
        <w:drawing>
          <wp:anchor distT="0" distB="0" distL="114300" distR="114300" simplePos="0" relativeHeight="251852800" behindDoc="0" locked="0" layoutInCell="1" allowOverlap="1" wp14:anchorId="04FF1512" wp14:editId="4D482BF9">
            <wp:simplePos x="0" y="0"/>
            <wp:positionH relativeFrom="column">
              <wp:posOffset>-332105</wp:posOffset>
            </wp:positionH>
            <wp:positionV relativeFrom="paragraph">
              <wp:posOffset>209550</wp:posOffset>
            </wp:positionV>
            <wp:extent cx="8601075" cy="5181600"/>
            <wp:effectExtent l="0" t="0" r="0" b="0"/>
            <wp:wrapSquare wrapText="bothSides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C12B5EC8-F9D8-4571-ACBE-59A1D10D2F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574" w:rsidRPr="003710A9">
        <w:t xml:space="preserve">Gráfico </w:t>
      </w:r>
      <w:r w:rsidR="00C427D1" w:rsidRPr="003710A9">
        <w:t>2</w:t>
      </w:r>
      <w:r w:rsidR="00D83574" w:rsidRPr="003710A9">
        <w:t xml:space="preserve">: </w:t>
      </w:r>
      <w:r w:rsidR="00C427D1" w:rsidRPr="003710A9">
        <w:t xml:space="preserve">Montos </w:t>
      </w:r>
      <w:r w:rsidR="00EB4D58">
        <w:t>R</w:t>
      </w:r>
      <w:r w:rsidR="00C427D1" w:rsidRPr="003710A9">
        <w:t xml:space="preserve">ecuperados a </w:t>
      </w:r>
      <w:r w:rsidR="00EB4D58">
        <w:t>F</w:t>
      </w:r>
      <w:r w:rsidR="00C427D1" w:rsidRPr="003710A9">
        <w:t>avor de los Consumidores, Usuarios y Tarjetahabientes</w:t>
      </w:r>
      <w:bookmarkEnd w:id="17"/>
      <w:r w:rsidR="00241E4B">
        <w:t>, enero- noviembre 2025</w:t>
      </w:r>
      <w:bookmarkEnd w:id="18"/>
    </w:p>
    <w:p w14:paraId="5BA7D096" w14:textId="1E9F065B" w:rsidR="00852220" w:rsidRDefault="00C427D1" w:rsidP="00D51870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C427D1">
        <w:rPr>
          <w:rFonts w:ascii="Times New Roman" w:hAnsi="Times New Roman" w:cs="Times New Roman"/>
          <w:bCs/>
          <w:sz w:val="18"/>
          <w:szCs w:val="18"/>
        </w:rPr>
        <w:t>Fuente</w:t>
      </w:r>
      <w:r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Pr="00C427D1">
        <w:rPr>
          <w:rFonts w:ascii="Times New Roman" w:hAnsi="Times New Roman" w:cs="Times New Roman"/>
          <w:sz w:val="18"/>
          <w:szCs w:val="18"/>
        </w:rPr>
        <w:t xml:space="preserve"> </w:t>
      </w:r>
      <w:r w:rsidRPr="00695AD4">
        <w:rPr>
          <w:rFonts w:ascii="Times New Roman" w:hAnsi="Times New Roman" w:cs="Times New Roman"/>
          <w:sz w:val="18"/>
          <w:szCs w:val="18"/>
        </w:rPr>
        <w:t>Departamentos de Servicios al Consumidor, Legal, Verificación y Vigilancia, UPSF y Departamento de Coordinación de Sedes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8A46BF5" w14:textId="77777777" w:rsidR="00C427D1" w:rsidRDefault="00C427D1" w:rsidP="00D51870">
      <w:pPr>
        <w:ind w:left="-567"/>
        <w:jc w:val="both"/>
        <w:rPr>
          <w:rFonts w:ascii="Times New Roman" w:hAnsi="Times New Roman" w:cs="Times New Roman"/>
          <w:b/>
          <w:sz w:val="22"/>
          <w:szCs w:val="22"/>
        </w:rPr>
        <w:sectPr w:rsidR="00C427D1" w:rsidSect="00ED45BD">
          <w:pgSz w:w="15840" w:h="12240" w:orient="landscape" w:code="1"/>
          <w:pgMar w:top="1418" w:right="1418" w:bottom="1418" w:left="1588" w:header="709" w:footer="709" w:gutter="0"/>
          <w:cols w:space="708"/>
          <w:docGrid w:linePitch="360"/>
        </w:sectPr>
      </w:pPr>
    </w:p>
    <w:p w14:paraId="0C97B0A8" w14:textId="3260DA53" w:rsidR="00C427D1" w:rsidRDefault="00C427D1" w:rsidP="00D51870">
      <w:pPr>
        <w:ind w:left="-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134FCFD" w14:textId="2F460692" w:rsidR="00852220" w:rsidRDefault="00852220" w:rsidP="002A0E6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0A80597" w14:textId="6191EFF3" w:rsidR="002B1F6F" w:rsidRPr="008C3DDF" w:rsidRDefault="002B1F6F" w:rsidP="008C3DDF">
      <w:pPr>
        <w:pStyle w:val="Ttulo1"/>
      </w:pPr>
      <w:bookmarkStart w:id="19" w:name="_Toc216788741"/>
      <w:r w:rsidRPr="008C3DDF">
        <w:t>Personas capacitadas, Conferencias impartidas y material educativo-informativo distribuido</w:t>
      </w:r>
      <w:bookmarkEnd w:id="19"/>
    </w:p>
    <w:p w14:paraId="68EB34EA" w14:textId="01BA827E" w:rsidR="002B1F6F" w:rsidRPr="00FA0403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0A42EEBB" w14:textId="0283D40B" w:rsidR="00120FFC" w:rsidRPr="00FA0403" w:rsidRDefault="00F32285" w:rsidP="00120FFC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ED66E6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, el Departamento de Promoción y Asesoría al Consumidor y Proveedor, </w:t>
      </w:r>
      <w:r w:rsidR="00673303" w:rsidRPr="00FA0403">
        <w:rPr>
          <w:rFonts w:ascii="Times New Roman" w:hAnsi="Times New Roman" w:cs="Times New Roman"/>
          <w:sz w:val="22"/>
          <w:szCs w:val="22"/>
        </w:rPr>
        <w:t xml:space="preserve">el Departamento de Promoción y Asesoría al Consumidor y Proveedor, realizó </w:t>
      </w:r>
      <w:r w:rsidR="00ED66E6" w:rsidRPr="00FA0403">
        <w:rPr>
          <w:rFonts w:ascii="Times New Roman" w:hAnsi="Times New Roman" w:cs="Times New Roman"/>
          <w:sz w:val="22"/>
          <w:szCs w:val="22"/>
        </w:rPr>
        <w:t>2</w:t>
      </w:r>
      <w:r w:rsidR="00673303" w:rsidRPr="00FA0403">
        <w:rPr>
          <w:rFonts w:ascii="Times New Roman" w:hAnsi="Times New Roman" w:cs="Times New Roman"/>
          <w:sz w:val="22"/>
          <w:szCs w:val="22"/>
        </w:rPr>
        <w:t xml:space="preserve"> conferencias de los derechos de los consumidores, usuarios y tarjetahabientes,</w:t>
      </w:r>
      <w:r w:rsidR="00C549B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673303" w:rsidRPr="00FA0403">
        <w:rPr>
          <w:rFonts w:ascii="Times New Roman" w:hAnsi="Times New Roman" w:cs="Times New Roman"/>
          <w:sz w:val="22"/>
          <w:szCs w:val="22"/>
        </w:rPr>
        <w:t xml:space="preserve">asistiendo </w:t>
      </w:r>
      <w:r w:rsidR="00ED66E6" w:rsidRPr="00FA0403">
        <w:rPr>
          <w:rFonts w:ascii="Times New Roman" w:hAnsi="Times New Roman" w:cs="Times New Roman"/>
          <w:sz w:val="22"/>
          <w:szCs w:val="22"/>
        </w:rPr>
        <w:t>76</w:t>
      </w:r>
      <w:r w:rsidR="00673303" w:rsidRPr="00FA0403">
        <w:rPr>
          <w:rFonts w:ascii="Times New Roman" w:hAnsi="Times New Roman" w:cs="Times New Roman"/>
          <w:sz w:val="22"/>
          <w:szCs w:val="22"/>
        </w:rPr>
        <w:t xml:space="preserve"> personas</w:t>
      </w:r>
      <w:r w:rsidR="006D0908" w:rsidRPr="00FA0403">
        <w:rPr>
          <w:rFonts w:ascii="Times New Roman" w:hAnsi="Times New Roman" w:cs="Times New Roman"/>
          <w:sz w:val="22"/>
          <w:szCs w:val="22"/>
        </w:rPr>
        <w:t xml:space="preserve">, asimismo, se </w:t>
      </w:r>
      <w:r w:rsidR="00120FFC" w:rsidRPr="00FA0403">
        <w:rPr>
          <w:rFonts w:ascii="Times New Roman" w:hAnsi="Times New Roman" w:cs="Times New Roman"/>
          <w:sz w:val="22"/>
          <w:szCs w:val="22"/>
        </w:rPr>
        <w:t xml:space="preserve">distribuyeron </w:t>
      </w:r>
      <w:r w:rsidR="00ED66E6" w:rsidRPr="00FA0403">
        <w:rPr>
          <w:rFonts w:ascii="Times New Roman" w:hAnsi="Times New Roman" w:cs="Times New Roman"/>
          <w:sz w:val="22"/>
          <w:szCs w:val="22"/>
        </w:rPr>
        <w:t>473</w:t>
      </w:r>
      <w:r w:rsidR="00B829F9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20FFC" w:rsidRPr="00FA0403">
        <w:rPr>
          <w:rFonts w:ascii="Times New Roman" w:hAnsi="Times New Roman" w:cs="Times New Roman"/>
          <w:sz w:val="22"/>
          <w:szCs w:val="22"/>
        </w:rPr>
        <w:t xml:space="preserve">documentos de material educativo e informativo, consistente en trifoliares, </w:t>
      </w:r>
      <w:proofErr w:type="spellStart"/>
      <w:r w:rsidR="00120FFC" w:rsidRPr="00FA0403">
        <w:rPr>
          <w:rFonts w:ascii="Times New Roman" w:hAnsi="Times New Roman" w:cs="Times New Roman"/>
          <w:sz w:val="22"/>
          <w:szCs w:val="22"/>
        </w:rPr>
        <w:t>cuadrifoliares</w:t>
      </w:r>
      <w:proofErr w:type="spellEnd"/>
      <w:r w:rsidR="00120FFC" w:rsidRPr="00FA0403">
        <w:rPr>
          <w:rFonts w:ascii="Times New Roman" w:hAnsi="Times New Roman" w:cs="Times New Roman"/>
          <w:sz w:val="22"/>
          <w:szCs w:val="22"/>
        </w:rPr>
        <w:t>, guías del consumidor, entre otros.</w:t>
      </w:r>
    </w:p>
    <w:p w14:paraId="503A353F" w14:textId="64198D26" w:rsidR="00092C63" w:rsidRPr="00FA0403" w:rsidRDefault="00092C63" w:rsidP="00120FF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8681EA" w14:textId="65494A99" w:rsidR="0008174A" w:rsidRPr="00FA0403" w:rsidRDefault="008A63B8" w:rsidP="0008174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respecta a las Sedes Departamentales, realizaron </w:t>
      </w:r>
      <w:r w:rsidR="0001512C" w:rsidRPr="00FA0403">
        <w:rPr>
          <w:rFonts w:ascii="Times New Roman" w:hAnsi="Times New Roman" w:cs="Times New Roman"/>
          <w:sz w:val="22"/>
          <w:szCs w:val="22"/>
        </w:rPr>
        <w:t>2</w:t>
      </w:r>
      <w:r w:rsidR="00ED66E6" w:rsidRPr="00FA0403">
        <w:rPr>
          <w:rFonts w:ascii="Times New Roman" w:hAnsi="Times New Roman" w:cs="Times New Roman"/>
          <w:sz w:val="22"/>
          <w:szCs w:val="22"/>
        </w:rPr>
        <w:t>8</w:t>
      </w:r>
      <w:r w:rsidR="00272F8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conferencias </w:t>
      </w:r>
      <w:r w:rsidR="005E02DE" w:rsidRPr="00FA0403">
        <w:rPr>
          <w:rFonts w:ascii="Times New Roman" w:hAnsi="Times New Roman" w:cs="Times New Roman"/>
          <w:sz w:val="22"/>
          <w:szCs w:val="22"/>
        </w:rPr>
        <w:t>de los derechos de los consumidores y usuarios y obligaciones de los proveedores de bienes y servicios,</w:t>
      </w:r>
      <w:r w:rsidR="0042415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08174A" w:rsidRPr="00FA0403">
        <w:rPr>
          <w:rFonts w:ascii="Times New Roman" w:hAnsi="Times New Roman" w:cs="Times New Roman"/>
          <w:sz w:val="22"/>
          <w:szCs w:val="22"/>
        </w:rPr>
        <w:t xml:space="preserve">asistiendo </w:t>
      </w:r>
      <w:r w:rsidR="00ED66E6" w:rsidRPr="00FA0403">
        <w:rPr>
          <w:rFonts w:ascii="Times New Roman" w:hAnsi="Times New Roman" w:cs="Times New Roman"/>
          <w:sz w:val="22"/>
          <w:szCs w:val="22"/>
        </w:rPr>
        <w:t>1,561</w:t>
      </w:r>
      <w:r w:rsidR="0001512C" w:rsidRPr="00FA0403">
        <w:rPr>
          <w:rFonts w:ascii="Times New Roman" w:hAnsi="Times New Roman" w:cs="Times New Roman"/>
          <w:sz w:val="22"/>
          <w:szCs w:val="22"/>
        </w:rPr>
        <w:t xml:space="preserve"> personas </w:t>
      </w:r>
      <w:r w:rsidR="0008174A" w:rsidRPr="00FA0403">
        <w:rPr>
          <w:rFonts w:ascii="Times New Roman" w:hAnsi="Times New Roman" w:cs="Times New Roman"/>
          <w:sz w:val="22"/>
          <w:szCs w:val="22"/>
        </w:rPr>
        <w:t xml:space="preserve">y se distribuyó </w:t>
      </w:r>
      <w:r w:rsidR="00ED66E6" w:rsidRPr="00FA0403">
        <w:rPr>
          <w:rFonts w:ascii="Times New Roman" w:hAnsi="Times New Roman" w:cs="Times New Roman"/>
          <w:sz w:val="22"/>
          <w:szCs w:val="22"/>
        </w:rPr>
        <w:t>4,642</w:t>
      </w:r>
      <w:r w:rsidR="0008174A"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se puede observar en el cuadro siguiente:</w:t>
      </w:r>
    </w:p>
    <w:p w14:paraId="25F12B4B" w14:textId="77777777" w:rsidR="00B65B1A" w:rsidRPr="00FA0403" w:rsidRDefault="00B65B1A" w:rsidP="0008174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544D3C" w14:textId="051133A5" w:rsidR="002B1F6F" w:rsidRPr="00FA0403" w:rsidRDefault="002B1F6F" w:rsidP="004F4B95">
      <w:pPr>
        <w:pStyle w:val="Tablas"/>
      </w:pPr>
      <w:bookmarkStart w:id="20" w:name="_Toc216797436"/>
      <w:r w:rsidRPr="00FA0403">
        <w:t xml:space="preserve">Cuadro </w:t>
      </w:r>
      <w:r w:rsidR="00051523" w:rsidRPr="00FA0403">
        <w:t>10</w:t>
      </w:r>
      <w:r w:rsidR="00C427D1">
        <w:t xml:space="preserve">: </w:t>
      </w:r>
      <w:r w:rsidRPr="00FA0403">
        <w:t>Conferencias, Asistentes y Material Educativo-Informativo</w:t>
      </w:r>
      <w:r w:rsidR="008C3DDF">
        <w:t xml:space="preserve">, </w:t>
      </w:r>
      <w:r w:rsidR="00614BF5">
        <w:t>noviembre</w:t>
      </w:r>
      <w:r w:rsidR="008C3DDF">
        <w:t xml:space="preserve"> 2025</w:t>
      </w:r>
      <w:bookmarkEnd w:id="20"/>
    </w:p>
    <w:tbl>
      <w:tblPr>
        <w:tblW w:w="499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8"/>
        <w:gridCol w:w="1384"/>
        <w:gridCol w:w="2295"/>
        <w:gridCol w:w="1420"/>
      </w:tblGrid>
      <w:tr w:rsidR="00E950BD" w:rsidRPr="00234D38" w14:paraId="57B1B3EF" w14:textId="77777777" w:rsidTr="00FE4CED">
        <w:trPr>
          <w:trHeight w:val="340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58C57A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49C9BB5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70E460B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9A20549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234D38" w:rsidRPr="00234D38" w14:paraId="390EE9DC" w14:textId="77777777" w:rsidTr="008C3DDF">
        <w:trPr>
          <w:trHeight w:val="34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BFC0" w14:textId="77777777" w:rsidR="00234D38" w:rsidRPr="00234D38" w:rsidRDefault="00234D38" w:rsidP="00234D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34D3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001E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50CB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6A0A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30</w:t>
            </w:r>
          </w:p>
        </w:tc>
      </w:tr>
      <w:tr w:rsidR="00234D38" w:rsidRPr="00234D38" w14:paraId="4B3A2E0F" w14:textId="77777777" w:rsidTr="008C3DDF">
        <w:trPr>
          <w:trHeight w:val="34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69CD" w14:textId="77777777" w:rsidR="00234D38" w:rsidRPr="00234D38" w:rsidRDefault="00234D38" w:rsidP="00234D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34D3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9EE2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33E6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1,561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B255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1,637</w:t>
            </w:r>
          </w:p>
        </w:tc>
      </w:tr>
      <w:tr w:rsidR="00234D38" w:rsidRPr="00234D38" w14:paraId="1369EBA6" w14:textId="77777777" w:rsidTr="008C3DDF">
        <w:trPr>
          <w:trHeight w:val="34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E4B9" w14:textId="77777777" w:rsidR="00234D38" w:rsidRPr="00234D38" w:rsidRDefault="00234D38" w:rsidP="00234D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34D3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3692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3CB5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B20A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</w:tr>
      <w:tr w:rsidR="00E950BD" w:rsidRPr="00234D38" w14:paraId="5744EBDA" w14:textId="77777777" w:rsidTr="008C3DDF">
        <w:trPr>
          <w:trHeight w:val="34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1F3C1" w14:textId="47CB36AD" w:rsidR="00234D38" w:rsidRPr="00234D38" w:rsidRDefault="00234D38" w:rsidP="00234D38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234D3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="008C3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DE</w:t>
            </w:r>
            <w:r w:rsidRPr="00234D3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PERSONAS CAPACITADAS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112A5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76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E5347B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1,561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B4C24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1,637</w:t>
            </w:r>
          </w:p>
        </w:tc>
      </w:tr>
      <w:tr w:rsidR="00234D38" w:rsidRPr="00234D38" w14:paraId="19E6052A" w14:textId="77777777" w:rsidTr="008C3DDF">
        <w:trPr>
          <w:trHeight w:val="340"/>
        </w:trPr>
        <w:tc>
          <w:tcPr>
            <w:tcW w:w="2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DDD2" w14:textId="77777777" w:rsidR="00234D38" w:rsidRPr="00234D38" w:rsidRDefault="00234D38" w:rsidP="00234D3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34D3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9AC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473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804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4,642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B719" w14:textId="77777777" w:rsidR="00234D38" w:rsidRPr="00880170" w:rsidRDefault="00234D38" w:rsidP="00234D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5,115</w:t>
            </w:r>
          </w:p>
        </w:tc>
      </w:tr>
    </w:tbl>
    <w:p w14:paraId="370D6C91" w14:textId="0733C73A" w:rsidR="00AB0E67" w:rsidRPr="00234D38" w:rsidRDefault="001250BE" w:rsidP="00662E53">
      <w:pPr>
        <w:rPr>
          <w:rFonts w:ascii="Times New Roman" w:hAnsi="Times New Roman" w:cs="Times New Roman"/>
          <w:b/>
          <w:sz w:val="18"/>
          <w:szCs w:val="18"/>
        </w:rPr>
      </w:pPr>
      <w:r w:rsidRPr="00234D3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</w:t>
      </w:r>
      <w:r w:rsidR="00AB0E67" w:rsidRPr="00234D38">
        <w:rPr>
          <w:rFonts w:ascii="Times New Roman" w:hAnsi="Times New Roman" w:cs="Times New Roman"/>
          <w:sz w:val="18"/>
          <w:szCs w:val="18"/>
        </w:rPr>
        <w:t xml:space="preserve">Departamento de Coordinación de Sedes </w:t>
      </w:r>
    </w:p>
    <w:p w14:paraId="0EEDF231" w14:textId="55C3681A" w:rsidR="0053757F" w:rsidRPr="00234D38" w:rsidRDefault="0053757F" w:rsidP="00313FB4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050760" w14:textId="77777777" w:rsidR="002029AD" w:rsidRDefault="002029AD" w:rsidP="000251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88948A" w14:textId="1F39EB4F" w:rsidR="000251B0" w:rsidRDefault="000251B0" w:rsidP="000251B0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realizado </w:t>
      </w:r>
      <w:r w:rsidR="0001512C" w:rsidRPr="00FA0403">
        <w:rPr>
          <w:rFonts w:ascii="Times New Roman" w:hAnsi="Times New Roman" w:cs="Times New Roman"/>
          <w:sz w:val="22"/>
          <w:szCs w:val="22"/>
        </w:rPr>
        <w:t>4</w:t>
      </w:r>
      <w:r w:rsidR="00ED66E6" w:rsidRPr="00FA0403">
        <w:rPr>
          <w:rFonts w:ascii="Times New Roman" w:hAnsi="Times New Roman" w:cs="Times New Roman"/>
          <w:sz w:val="22"/>
          <w:szCs w:val="22"/>
        </w:rPr>
        <w:t>3</w:t>
      </w:r>
      <w:r w:rsidR="0001512C" w:rsidRPr="00FA0403">
        <w:rPr>
          <w:rFonts w:ascii="Times New Roman" w:hAnsi="Times New Roman" w:cs="Times New Roman"/>
          <w:sz w:val="22"/>
          <w:szCs w:val="22"/>
        </w:rPr>
        <w:t>7</w:t>
      </w:r>
      <w:r w:rsidRPr="00FA0403">
        <w:rPr>
          <w:rFonts w:ascii="Times New Roman" w:hAnsi="Times New Roman" w:cs="Times New Roman"/>
          <w:sz w:val="22"/>
          <w:szCs w:val="22"/>
        </w:rPr>
        <w:t xml:space="preserve"> conferencias </w:t>
      </w:r>
      <w:r w:rsidR="00AD359E" w:rsidRPr="00FA0403">
        <w:rPr>
          <w:rFonts w:ascii="Times New Roman" w:hAnsi="Times New Roman" w:cs="Times New Roman"/>
          <w:sz w:val="22"/>
          <w:szCs w:val="22"/>
        </w:rPr>
        <w:t xml:space="preserve">de </w:t>
      </w:r>
      <w:r w:rsidR="005E02DE" w:rsidRPr="00FA0403">
        <w:rPr>
          <w:rFonts w:ascii="Times New Roman" w:hAnsi="Times New Roman" w:cs="Times New Roman"/>
          <w:sz w:val="22"/>
          <w:szCs w:val="22"/>
        </w:rPr>
        <w:t>los derechos de los consumidores</w:t>
      </w:r>
      <w:r w:rsidR="00E71956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5E02DE" w:rsidRPr="00FA0403">
        <w:rPr>
          <w:rFonts w:ascii="Times New Roman" w:hAnsi="Times New Roman" w:cs="Times New Roman"/>
          <w:sz w:val="22"/>
          <w:szCs w:val="22"/>
        </w:rPr>
        <w:t>usuarios</w:t>
      </w:r>
      <w:r w:rsidR="00E71956" w:rsidRPr="00FA0403">
        <w:rPr>
          <w:rFonts w:ascii="Times New Roman" w:hAnsi="Times New Roman" w:cs="Times New Roman"/>
          <w:sz w:val="22"/>
          <w:szCs w:val="22"/>
        </w:rPr>
        <w:t xml:space="preserve"> y tarjetahabientes, </w:t>
      </w:r>
      <w:r w:rsidR="005E02DE" w:rsidRPr="00FA0403">
        <w:rPr>
          <w:rFonts w:ascii="Times New Roman" w:hAnsi="Times New Roman" w:cs="Times New Roman"/>
          <w:sz w:val="22"/>
          <w:szCs w:val="22"/>
        </w:rPr>
        <w:t xml:space="preserve">así como conferencias </w:t>
      </w:r>
      <w:r w:rsidR="00616D60" w:rsidRPr="00FA0403">
        <w:rPr>
          <w:rFonts w:ascii="Times New Roman" w:hAnsi="Times New Roman" w:cs="Times New Roman"/>
          <w:sz w:val="22"/>
          <w:szCs w:val="22"/>
        </w:rPr>
        <w:t>de información</w:t>
      </w:r>
      <w:r w:rsidR="00AD359E" w:rsidRPr="00FA0403">
        <w:rPr>
          <w:rFonts w:ascii="Times New Roman" w:hAnsi="Times New Roman" w:cs="Times New Roman"/>
          <w:sz w:val="22"/>
          <w:szCs w:val="22"/>
        </w:rPr>
        <w:t xml:space="preserve"> sobre derechos y obligaciones en materia de consumo</w:t>
      </w:r>
      <w:r w:rsidR="005E02DE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Pr="00FA0403">
        <w:rPr>
          <w:rFonts w:ascii="Times New Roman" w:hAnsi="Times New Roman" w:cs="Times New Roman"/>
          <w:sz w:val="22"/>
          <w:szCs w:val="22"/>
        </w:rPr>
        <w:t xml:space="preserve">siendo el total de asistentes de </w:t>
      </w:r>
      <w:r w:rsidR="00ED66E6" w:rsidRPr="00FA0403">
        <w:rPr>
          <w:rFonts w:ascii="Times New Roman" w:hAnsi="Times New Roman" w:cs="Times New Roman"/>
          <w:sz w:val="22"/>
          <w:szCs w:val="22"/>
        </w:rPr>
        <w:t>32,038</w:t>
      </w:r>
      <w:r w:rsidR="00314122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personas, asimismo, se distribuyeron </w:t>
      </w:r>
      <w:r w:rsidR="0001512C" w:rsidRPr="00FA0403">
        <w:rPr>
          <w:rFonts w:ascii="Times New Roman" w:hAnsi="Times New Roman" w:cs="Times New Roman"/>
          <w:sz w:val="22"/>
          <w:szCs w:val="22"/>
        </w:rPr>
        <w:t>15</w:t>
      </w:r>
      <w:r w:rsidR="00ED66E6" w:rsidRPr="00FA0403">
        <w:rPr>
          <w:rFonts w:ascii="Times New Roman" w:hAnsi="Times New Roman" w:cs="Times New Roman"/>
          <w:sz w:val="22"/>
          <w:szCs w:val="22"/>
        </w:rPr>
        <w:t>8</w:t>
      </w:r>
      <w:r w:rsidR="0001512C" w:rsidRPr="00FA0403">
        <w:rPr>
          <w:rFonts w:ascii="Times New Roman" w:hAnsi="Times New Roman" w:cs="Times New Roman"/>
          <w:sz w:val="22"/>
          <w:szCs w:val="22"/>
        </w:rPr>
        <w:t>,</w:t>
      </w:r>
      <w:r w:rsidR="00ED66E6" w:rsidRPr="00FA0403">
        <w:rPr>
          <w:rFonts w:ascii="Times New Roman" w:hAnsi="Times New Roman" w:cs="Times New Roman"/>
          <w:sz w:val="22"/>
          <w:szCs w:val="22"/>
        </w:rPr>
        <w:t>210</w:t>
      </w:r>
      <w:r w:rsidRPr="00FA0403">
        <w:rPr>
          <w:rFonts w:ascii="Times New Roman" w:hAnsi="Times New Roman" w:cs="Times New Roman"/>
          <w:sz w:val="22"/>
          <w:szCs w:val="22"/>
        </w:rPr>
        <w:t xml:space="preserve"> documentos de material educativo e informativo, como puede observarse en el cuadro siguiente:</w:t>
      </w:r>
    </w:p>
    <w:p w14:paraId="224E4AF2" w14:textId="77777777" w:rsidR="00234D38" w:rsidRPr="00FA0403" w:rsidRDefault="00234D38" w:rsidP="000251B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BB8AB82" w14:textId="2751B7F5" w:rsidR="000251B0" w:rsidRPr="00FA0403" w:rsidRDefault="000251B0" w:rsidP="004F4B95">
      <w:pPr>
        <w:pStyle w:val="Tablas"/>
      </w:pPr>
      <w:bookmarkStart w:id="21" w:name="_Toc216797437"/>
      <w:r w:rsidRPr="00FA0403">
        <w:t>Cuadro 11</w:t>
      </w:r>
      <w:r w:rsidR="00C427D1">
        <w:t xml:space="preserve">: </w:t>
      </w:r>
      <w:r w:rsidRPr="00FA0403">
        <w:t>Conferencias, Asistentes y Material Educativo-Informativo</w:t>
      </w:r>
      <w:r w:rsidR="008C3DDF">
        <w:t xml:space="preserve">, </w:t>
      </w:r>
      <w:r w:rsidR="00614BF5">
        <w:t>e</w:t>
      </w:r>
      <w:r w:rsidRPr="00FA0403">
        <w:t>nero–</w:t>
      </w:r>
      <w:r w:rsidR="00614BF5" w:rsidRPr="00FA0403">
        <w:t>noviembre</w:t>
      </w:r>
      <w:r w:rsidRPr="00FA0403">
        <w:t xml:space="preserve"> 202</w:t>
      </w:r>
      <w:r w:rsidR="004C4D76" w:rsidRPr="00FA0403">
        <w:t>5</w:t>
      </w:r>
      <w:bookmarkEnd w:id="21"/>
    </w:p>
    <w:tbl>
      <w:tblPr>
        <w:tblW w:w="49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18"/>
        <w:gridCol w:w="2267"/>
        <w:gridCol w:w="1420"/>
      </w:tblGrid>
      <w:tr w:rsidR="00E950BD" w:rsidRPr="00E950BD" w14:paraId="705BECBF" w14:textId="77777777" w:rsidTr="00FE4CED">
        <w:trPr>
          <w:trHeight w:val="340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1DED532" w14:textId="77777777" w:rsidR="00E950BD" w:rsidRPr="00FE4CED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E4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CA599FB" w14:textId="77777777" w:rsidR="00E950BD" w:rsidRPr="00FE4CED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E4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112293" w14:textId="77777777" w:rsidR="00E950BD" w:rsidRPr="00FE4CED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E4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4684CED" w14:textId="77777777" w:rsidR="00E950BD" w:rsidRPr="00FE4CED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E4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950BD" w:rsidRPr="00E950BD" w14:paraId="7F793910" w14:textId="77777777" w:rsidTr="008C3DDF">
        <w:trPr>
          <w:trHeight w:val="340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54A0" w14:textId="77777777" w:rsidR="00E950BD" w:rsidRPr="00880170" w:rsidRDefault="00E950BD" w:rsidP="00E950B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Conferencias impartidas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2DB4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957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355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AE79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437</w:t>
            </w:r>
          </w:p>
        </w:tc>
      </w:tr>
      <w:tr w:rsidR="00E950BD" w:rsidRPr="00E950BD" w14:paraId="77D488FD" w14:textId="77777777" w:rsidTr="008C3DDF">
        <w:trPr>
          <w:trHeight w:val="340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043C" w14:textId="77777777" w:rsidR="00E950BD" w:rsidRPr="00880170" w:rsidRDefault="00E950BD" w:rsidP="00E950B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sobre los derechos y obligaciones de los consumidores y usuarios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6184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7,514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D81F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17,273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EEE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24,787</w:t>
            </w:r>
          </w:p>
        </w:tc>
      </w:tr>
      <w:tr w:rsidR="00E950BD" w:rsidRPr="00E950BD" w14:paraId="0ADB569C" w14:textId="77777777" w:rsidTr="008C3DDF">
        <w:trPr>
          <w:trHeight w:val="340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4B85" w14:textId="77777777" w:rsidR="00E950BD" w:rsidRPr="00880170" w:rsidRDefault="00E950BD" w:rsidP="00E950B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Personas capacitadas en el tema de servicios financieros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FFAB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7,151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823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638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7,251</w:t>
            </w:r>
          </w:p>
        </w:tc>
      </w:tr>
      <w:tr w:rsidR="00E950BD" w:rsidRPr="00E950BD" w14:paraId="1C62AEBF" w14:textId="77777777" w:rsidTr="008C3DDF">
        <w:trPr>
          <w:trHeight w:val="340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96599B" w14:textId="2E989342" w:rsidR="00E950BD" w:rsidRPr="00880170" w:rsidRDefault="00E950BD" w:rsidP="00E950BD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proofErr w:type="gramStart"/>
            <w:r w:rsidRPr="008801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  <w:proofErr w:type="gramEnd"/>
            <w:r w:rsidRPr="008801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 </w:t>
            </w:r>
            <w:r w:rsidR="008C3D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 xml:space="preserve">DE </w:t>
            </w:r>
            <w:r w:rsidRPr="0088017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PERSONAS CAPACITADAS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8509B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14,665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942D4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17,373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5B2A1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32,038</w:t>
            </w:r>
          </w:p>
        </w:tc>
      </w:tr>
      <w:tr w:rsidR="00E950BD" w:rsidRPr="00E950BD" w14:paraId="69FA1AC3" w14:textId="77777777" w:rsidTr="008C3DDF">
        <w:trPr>
          <w:trHeight w:val="340"/>
        </w:trPr>
        <w:tc>
          <w:tcPr>
            <w:tcW w:w="2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8A37" w14:textId="77777777" w:rsidR="00E950BD" w:rsidRPr="00880170" w:rsidRDefault="00E950BD" w:rsidP="00E950B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Material Distribuido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15A2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96,923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9D6D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61,287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3391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158,210</w:t>
            </w:r>
          </w:p>
        </w:tc>
      </w:tr>
    </w:tbl>
    <w:p w14:paraId="4FD3ADAE" w14:textId="1726757B" w:rsidR="000251B0" w:rsidRPr="00E950BD" w:rsidRDefault="00536C3F" w:rsidP="0025245A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>Fuente: Departamento de Promoción y Asesoría al Consumidor y Proveedor y Departamento de Coordinación de Sedes</w:t>
      </w:r>
    </w:p>
    <w:p w14:paraId="2E0893B1" w14:textId="77777777" w:rsidR="001215F2" w:rsidRDefault="001215F2" w:rsidP="0025245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92B456" w14:textId="77777777" w:rsidR="00795387" w:rsidRPr="00FA0403" w:rsidRDefault="00795387" w:rsidP="0025245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1E043D" w14:textId="77777777" w:rsidR="00FB60EC" w:rsidRPr="00FA0403" w:rsidRDefault="00FB60EC" w:rsidP="0025245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96FD4A" w14:textId="77777777" w:rsidR="00C427D1" w:rsidRDefault="00C427D1" w:rsidP="0025245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913D3C" w14:textId="3ECFCA77" w:rsidR="0025245A" w:rsidRPr="00FA0403" w:rsidRDefault="00C0384A" w:rsidP="0025245A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ED66E6" w:rsidRPr="00FA0403">
        <w:rPr>
          <w:rFonts w:ascii="Times New Roman" w:hAnsi="Times New Roman" w:cs="Times New Roman"/>
          <w:sz w:val="22"/>
          <w:szCs w:val="22"/>
        </w:rPr>
        <w:t>noviembre</w:t>
      </w:r>
      <w:r w:rsidR="00C40649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A7176B"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25245A" w:rsidRPr="00FA0403">
        <w:rPr>
          <w:rFonts w:ascii="Times New Roman" w:hAnsi="Times New Roman" w:cs="Times New Roman"/>
          <w:sz w:val="22"/>
          <w:szCs w:val="22"/>
        </w:rPr>
        <w:t xml:space="preserve">lo que se refiere </w:t>
      </w:r>
      <w:r w:rsidR="006A3F0D" w:rsidRPr="00FA0403">
        <w:rPr>
          <w:rFonts w:ascii="Times New Roman" w:hAnsi="Times New Roman" w:cs="Times New Roman"/>
          <w:sz w:val="22"/>
          <w:szCs w:val="22"/>
        </w:rPr>
        <w:t xml:space="preserve">a </w:t>
      </w:r>
      <w:r w:rsidR="005E02DE" w:rsidRPr="00FA0403">
        <w:rPr>
          <w:rFonts w:ascii="Times New Roman" w:hAnsi="Times New Roman" w:cs="Times New Roman"/>
          <w:sz w:val="22"/>
          <w:szCs w:val="22"/>
        </w:rPr>
        <w:t>la información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34595" w:rsidRPr="00FA0403">
        <w:rPr>
          <w:rFonts w:ascii="Times New Roman" w:hAnsi="Times New Roman" w:cs="Times New Roman"/>
          <w:sz w:val="22"/>
          <w:szCs w:val="22"/>
        </w:rPr>
        <w:t xml:space="preserve">brindada </w:t>
      </w:r>
      <w:r w:rsidR="0027305A" w:rsidRPr="00FA0403">
        <w:rPr>
          <w:rFonts w:ascii="Times New Roman" w:hAnsi="Times New Roman" w:cs="Times New Roman"/>
          <w:sz w:val="22"/>
          <w:szCs w:val="22"/>
        </w:rPr>
        <w:t xml:space="preserve">sobre derechos y obligaciones en materia de </w:t>
      </w:r>
      <w:r w:rsidR="00A55C73" w:rsidRPr="00FA0403">
        <w:rPr>
          <w:rFonts w:ascii="Times New Roman" w:hAnsi="Times New Roman" w:cs="Times New Roman"/>
          <w:sz w:val="22"/>
          <w:szCs w:val="22"/>
        </w:rPr>
        <w:t xml:space="preserve">consumo, </w:t>
      </w:r>
      <w:r w:rsidR="009E4520" w:rsidRPr="00FA0403">
        <w:rPr>
          <w:rFonts w:ascii="Times New Roman" w:hAnsi="Times New Roman" w:cs="Times New Roman"/>
          <w:sz w:val="22"/>
          <w:szCs w:val="22"/>
        </w:rPr>
        <w:t>el</w:t>
      </w:r>
      <w:r w:rsidR="0027305A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5245A" w:rsidRPr="00FA0403">
        <w:rPr>
          <w:rFonts w:ascii="Times New Roman" w:hAnsi="Times New Roman" w:cs="Times New Roman"/>
          <w:sz w:val="22"/>
          <w:szCs w:val="22"/>
        </w:rPr>
        <w:t>Departamento de Promoción y Asesoría al Consumidor y Proveedor</w:t>
      </w:r>
      <w:r w:rsidR="009E4520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D66E6" w:rsidRPr="00FA0403">
        <w:rPr>
          <w:rFonts w:ascii="Times New Roman" w:hAnsi="Times New Roman" w:cs="Times New Roman"/>
          <w:sz w:val="22"/>
          <w:szCs w:val="22"/>
        </w:rPr>
        <w:t xml:space="preserve">no </w:t>
      </w:r>
      <w:r w:rsidR="007B336F" w:rsidRPr="00FA0403">
        <w:rPr>
          <w:rFonts w:ascii="Times New Roman" w:hAnsi="Times New Roman" w:cs="Times New Roman"/>
          <w:sz w:val="22"/>
          <w:szCs w:val="22"/>
        </w:rPr>
        <w:t>reportó personas</w:t>
      </w:r>
      <w:r w:rsidR="007A7E4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46EEB" w:rsidRPr="00FA0403">
        <w:rPr>
          <w:rFonts w:ascii="Times New Roman" w:hAnsi="Times New Roman" w:cs="Times New Roman"/>
          <w:sz w:val="22"/>
          <w:szCs w:val="22"/>
        </w:rPr>
        <w:t>informadas</w:t>
      </w:r>
      <w:r w:rsidR="00F50951" w:rsidRPr="00FA0403">
        <w:rPr>
          <w:rFonts w:ascii="Times New Roman" w:hAnsi="Times New Roman" w:cs="Times New Roman"/>
          <w:sz w:val="22"/>
          <w:szCs w:val="22"/>
        </w:rPr>
        <w:t>;</w:t>
      </w:r>
      <w:r w:rsidR="009E4520" w:rsidRPr="00FA0403">
        <w:rPr>
          <w:rFonts w:ascii="Times New Roman" w:hAnsi="Times New Roman" w:cs="Times New Roman"/>
          <w:sz w:val="22"/>
          <w:szCs w:val="22"/>
        </w:rPr>
        <w:t xml:space="preserve"> en el caso </w:t>
      </w:r>
      <w:r w:rsidR="001508B1" w:rsidRPr="00FA0403">
        <w:rPr>
          <w:rFonts w:ascii="Times New Roman" w:hAnsi="Times New Roman" w:cs="Times New Roman"/>
          <w:sz w:val="22"/>
          <w:szCs w:val="22"/>
        </w:rPr>
        <w:t>del Departamento</w:t>
      </w:r>
      <w:r w:rsidR="0027305A" w:rsidRPr="00FA0403">
        <w:rPr>
          <w:rFonts w:ascii="Times New Roman" w:hAnsi="Times New Roman" w:cs="Times New Roman"/>
          <w:sz w:val="22"/>
          <w:szCs w:val="22"/>
        </w:rPr>
        <w:t xml:space="preserve"> de Coordinación de </w:t>
      </w:r>
      <w:r w:rsidR="00C40649" w:rsidRPr="00FA0403">
        <w:rPr>
          <w:rFonts w:ascii="Times New Roman" w:hAnsi="Times New Roman" w:cs="Times New Roman"/>
          <w:sz w:val="22"/>
          <w:szCs w:val="22"/>
        </w:rPr>
        <w:t>S</w:t>
      </w:r>
      <w:r w:rsidR="0025245A" w:rsidRPr="00FA0403">
        <w:rPr>
          <w:rFonts w:ascii="Times New Roman" w:hAnsi="Times New Roman" w:cs="Times New Roman"/>
          <w:sz w:val="22"/>
          <w:szCs w:val="22"/>
        </w:rPr>
        <w:t>edes Departamentales</w:t>
      </w:r>
      <w:r w:rsidR="007A7E4C" w:rsidRPr="00FA0403">
        <w:rPr>
          <w:rFonts w:ascii="Times New Roman" w:hAnsi="Times New Roman" w:cs="Times New Roman"/>
          <w:sz w:val="22"/>
          <w:szCs w:val="22"/>
        </w:rPr>
        <w:t>, report</w:t>
      </w:r>
      <w:r w:rsidR="00F50951" w:rsidRPr="00FA0403">
        <w:rPr>
          <w:rFonts w:ascii="Times New Roman" w:hAnsi="Times New Roman" w:cs="Times New Roman"/>
          <w:sz w:val="22"/>
          <w:szCs w:val="22"/>
        </w:rPr>
        <w:t>ó</w:t>
      </w:r>
      <w:r w:rsidR="007A7E4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D66E6" w:rsidRPr="00FA0403">
        <w:rPr>
          <w:rFonts w:ascii="Times New Roman" w:hAnsi="Times New Roman" w:cs="Times New Roman"/>
          <w:sz w:val="22"/>
          <w:szCs w:val="22"/>
        </w:rPr>
        <w:t>917</w:t>
      </w:r>
      <w:r w:rsidR="002C4F13" w:rsidRPr="00FA0403">
        <w:rPr>
          <w:rFonts w:ascii="Times New Roman" w:hAnsi="Times New Roman" w:cs="Times New Roman"/>
          <w:sz w:val="22"/>
          <w:szCs w:val="22"/>
        </w:rPr>
        <w:t xml:space="preserve"> personas informadas</w:t>
      </w:r>
      <w:r w:rsidR="005A6D8E" w:rsidRPr="00FA0403">
        <w:rPr>
          <w:rFonts w:ascii="Times New Roman" w:hAnsi="Times New Roman" w:cs="Times New Roman"/>
          <w:sz w:val="22"/>
          <w:szCs w:val="22"/>
        </w:rPr>
        <w:t>, como</w:t>
      </w:r>
      <w:r w:rsidR="0025245A" w:rsidRPr="00FA0403">
        <w:rPr>
          <w:rFonts w:ascii="Times New Roman" w:hAnsi="Times New Roman" w:cs="Times New Roman"/>
          <w:sz w:val="22"/>
          <w:szCs w:val="22"/>
        </w:rPr>
        <w:t xml:space="preserve"> se puede observar en el cuadro siguiente:</w:t>
      </w:r>
    </w:p>
    <w:p w14:paraId="3B4D9F5B" w14:textId="77777777" w:rsidR="00FB378A" w:rsidRPr="00FA0403" w:rsidRDefault="00FB378A" w:rsidP="0025245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C3D7D4" w14:textId="3A80F908" w:rsidR="0066608D" w:rsidRPr="00FA0403" w:rsidRDefault="0066608D" w:rsidP="004F4B95">
      <w:pPr>
        <w:pStyle w:val="Tablas"/>
      </w:pPr>
      <w:bookmarkStart w:id="22" w:name="_Toc216797438"/>
      <w:r w:rsidRPr="00FA0403">
        <w:t xml:space="preserve">Cuadro </w:t>
      </w:r>
      <w:r w:rsidR="00051523" w:rsidRPr="00FA0403">
        <w:t>12</w:t>
      </w:r>
      <w:r w:rsidR="00C427D1">
        <w:t xml:space="preserve">:  </w:t>
      </w:r>
      <w:r w:rsidR="00A50C52" w:rsidRPr="00FA0403">
        <w:t>Participantes</w:t>
      </w:r>
      <w:r w:rsidRPr="00FA0403">
        <w:t xml:space="preserve"> </w:t>
      </w:r>
      <w:r w:rsidR="00A34595" w:rsidRPr="00FA0403">
        <w:t xml:space="preserve">en las </w:t>
      </w:r>
      <w:r w:rsidR="008C3DDF">
        <w:t>C</w:t>
      </w:r>
      <w:r w:rsidR="00A34595" w:rsidRPr="00FA0403">
        <w:t xml:space="preserve">onferencias </w:t>
      </w:r>
      <w:r w:rsidR="008C3DDF">
        <w:t>I</w:t>
      </w:r>
      <w:r w:rsidR="003E1048" w:rsidRPr="00FA0403">
        <w:t xml:space="preserve">mpartidas </w:t>
      </w:r>
      <w:r w:rsidR="008C3DDF">
        <w:t>S</w:t>
      </w:r>
      <w:r w:rsidR="003E1048">
        <w:t>obre</w:t>
      </w:r>
      <w:r w:rsidR="00A34595" w:rsidRPr="00FA0403">
        <w:t xml:space="preserve"> </w:t>
      </w:r>
      <w:r w:rsidR="008C3DDF">
        <w:t>D</w:t>
      </w:r>
      <w:r w:rsidR="008C3DDF" w:rsidRPr="00FA0403">
        <w:t>erechos</w:t>
      </w:r>
      <w:r w:rsidR="00A34595" w:rsidRPr="00FA0403">
        <w:t xml:space="preserve"> y </w:t>
      </w:r>
      <w:r w:rsidR="008C3DDF">
        <w:t>O</w:t>
      </w:r>
      <w:r w:rsidR="00A34595" w:rsidRPr="00FA0403">
        <w:t xml:space="preserve">bligaciones en </w:t>
      </w:r>
      <w:r w:rsidR="008C3DDF">
        <w:t>M</w:t>
      </w:r>
      <w:r w:rsidR="00A34595" w:rsidRPr="00FA0403">
        <w:t xml:space="preserve">ateria de </w:t>
      </w:r>
      <w:r w:rsidR="008C3DDF">
        <w:t>C</w:t>
      </w:r>
      <w:r w:rsidR="00A34595" w:rsidRPr="00FA0403">
        <w:t>onsumo</w:t>
      </w:r>
      <w:r w:rsidR="008C3DDF">
        <w:t xml:space="preserve">, </w:t>
      </w:r>
      <w:r w:rsidR="00614BF5">
        <w:t>noviembre</w:t>
      </w:r>
      <w:r w:rsidR="008C3DDF">
        <w:t xml:space="preserve"> 2025</w:t>
      </w:r>
      <w:bookmarkEnd w:id="22"/>
      <w:r w:rsidR="00A34595" w:rsidRPr="00FA0403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1417"/>
        <w:gridCol w:w="2268"/>
        <w:gridCol w:w="1462"/>
      </w:tblGrid>
      <w:tr w:rsidR="00E950BD" w:rsidRPr="00E950BD" w14:paraId="522CCBE2" w14:textId="77777777" w:rsidTr="00FE4CED">
        <w:trPr>
          <w:trHeight w:val="340"/>
        </w:trPr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B160764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267027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8A96681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5CE30A5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E950BD" w:rsidRPr="00E950BD" w14:paraId="5FC61CC5" w14:textId="77777777" w:rsidTr="008C3DDF">
        <w:trPr>
          <w:trHeight w:val="340"/>
        </w:trPr>
        <w:tc>
          <w:tcPr>
            <w:tcW w:w="2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1CF" w14:textId="77777777" w:rsidR="00E950BD" w:rsidRPr="00E950BD" w:rsidRDefault="00E950BD" w:rsidP="00E950B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950B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9A78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D73D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917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43DC" w14:textId="77777777" w:rsidR="00E950BD" w:rsidRPr="00880170" w:rsidRDefault="00E950BD" w:rsidP="00E950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917</w:t>
            </w:r>
          </w:p>
        </w:tc>
      </w:tr>
    </w:tbl>
    <w:p w14:paraId="27D5C28C" w14:textId="76404289" w:rsidR="00AB0E67" w:rsidRPr="00E950BD" w:rsidRDefault="0066608D" w:rsidP="00AB0E67">
      <w:pPr>
        <w:jc w:val="both"/>
        <w:rPr>
          <w:rFonts w:ascii="Times New Roman" w:hAnsi="Times New Roman" w:cs="Times New Roman"/>
          <w:sz w:val="18"/>
          <w:szCs w:val="18"/>
        </w:rPr>
      </w:pPr>
      <w:r w:rsidRPr="00E950BD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</w:t>
      </w:r>
      <w:r w:rsidR="00AB0E67" w:rsidRPr="00E950BD">
        <w:rPr>
          <w:rFonts w:ascii="Times New Roman" w:hAnsi="Times New Roman" w:cs="Times New Roman"/>
          <w:sz w:val="18"/>
          <w:szCs w:val="18"/>
        </w:rPr>
        <w:t xml:space="preserve">Departamento de Coordinación de Sedes </w:t>
      </w:r>
    </w:p>
    <w:p w14:paraId="1B29FE08" w14:textId="427B3FDE" w:rsidR="004C4D76" w:rsidRPr="00FA0403" w:rsidRDefault="004C4D76" w:rsidP="00AB0E6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8CA485" w14:textId="1A456BCC" w:rsidR="004C4D76" w:rsidRDefault="004C4D76" w:rsidP="004C4D76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</w:t>
      </w:r>
      <w:r w:rsidR="006A3F0D" w:rsidRPr="00FA0403">
        <w:rPr>
          <w:rFonts w:ascii="Times New Roman" w:hAnsi="Times New Roman" w:cs="Times New Roman"/>
          <w:sz w:val="22"/>
          <w:szCs w:val="22"/>
        </w:rPr>
        <w:t>en las conferencias impartidas de información sobre derechos y obligaciones en materia de consumo</w:t>
      </w:r>
      <w:r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6A3F0D" w:rsidRPr="00FA0403">
        <w:rPr>
          <w:rFonts w:ascii="Times New Roman" w:hAnsi="Times New Roman" w:cs="Times New Roman"/>
          <w:sz w:val="22"/>
          <w:szCs w:val="22"/>
        </w:rPr>
        <w:t xml:space="preserve">han asistido </w:t>
      </w:r>
      <w:r w:rsidRPr="00FA0403">
        <w:rPr>
          <w:rFonts w:ascii="Times New Roman" w:hAnsi="Times New Roman" w:cs="Times New Roman"/>
          <w:sz w:val="22"/>
          <w:szCs w:val="22"/>
        </w:rPr>
        <w:t xml:space="preserve">de </w:t>
      </w:r>
      <w:r w:rsidR="001215F2" w:rsidRPr="00FA0403">
        <w:rPr>
          <w:rFonts w:ascii="Times New Roman" w:hAnsi="Times New Roman" w:cs="Times New Roman"/>
          <w:sz w:val="22"/>
          <w:szCs w:val="22"/>
        </w:rPr>
        <w:t>6,</w:t>
      </w:r>
      <w:r w:rsidR="00ED66E6" w:rsidRPr="00FA0403">
        <w:rPr>
          <w:rFonts w:ascii="Times New Roman" w:hAnsi="Times New Roman" w:cs="Times New Roman"/>
          <w:sz w:val="22"/>
          <w:szCs w:val="22"/>
        </w:rPr>
        <w:t>922</w:t>
      </w:r>
      <w:r w:rsidRPr="00FA0403">
        <w:rPr>
          <w:rFonts w:ascii="Times New Roman" w:hAnsi="Times New Roman" w:cs="Times New Roman"/>
          <w:sz w:val="22"/>
          <w:szCs w:val="22"/>
        </w:rPr>
        <w:t xml:space="preserve"> personas, como puede observarse en el cuadro siguiente:</w:t>
      </w:r>
    </w:p>
    <w:p w14:paraId="7445257B" w14:textId="77777777" w:rsidR="00E950BD" w:rsidRPr="00FA0403" w:rsidRDefault="00E950BD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40443C" w14:textId="5711BC7F" w:rsidR="004C4D76" w:rsidRPr="00FA0403" w:rsidRDefault="0079791A" w:rsidP="004F4B95">
      <w:pPr>
        <w:pStyle w:val="Tablas"/>
      </w:pPr>
      <w:r w:rsidRPr="00FA0403">
        <w:t xml:space="preserve"> </w:t>
      </w:r>
      <w:bookmarkStart w:id="23" w:name="_Toc216797439"/>
      <w:r w:rsidR="004C4D76" w:rsidRPr="00FA0403">
        <w:t>Cuadro 13</w:t>
      </w:r>
      <w:r w:rsidR="003E1048">
        <w:t xml:space="preserve">:  </w:t>
      </w:r>
      <w:r w:rsidR="00A34595" w:rsidRPr="00FA0403">
        <w:t xml:space="preserve">Participantes en las </w:t>
      </w:r>
      <w:r w:rsidR="008C3DDF">
        <w:t>C</w:t>
      </w:r>
      <w:r w:rsidR="00A34595" w:rsidRPr="00FA0403">
        <w:t xml:space="preserve">onferencias </w:t>
      </w:r>
      <w:r w:rsidR="008C3DDF">
        <w:t>I</w:t>
      </w:r>
      <w:r w:rsidR="00A34595" w:rsidRPr="00FA0403">
        <w:t xml:space="preserve">mpartidas </w:t>
      </w:r>
      <w:r w:rsidR="008C3DDF">
        <w:t>S</w:t>
      </w:r>
      <w:r w:rsidR="00A34595" w:rsidRPr="00FA0403">
        <w:t xml:space="preserve">obre </w:t>
      </w:r>
      <w:r w:rsidR="008C3DDF">
        <w:t>D</w:t>
      </w:r>
      <w:r w:rsidR="00A34595" w:rsidRPr="00FA0403">
        <w:t xml:space="preserve">erechos y </w:t>
      </w:r>
      <w:r w:rsidR="008C3DDF">
        <w:t>O</w:t>
      </w:r>
      <w:r w:rsidR="00A34595" w:rsidRPr="00FA0403">
        <w:t>bligaciones</w:t>
      </w:r>
      <w:r w:rsidR="00684E38">
        <w:t xml:space="preserve"> </w:t>
      </w:r>
      <w:r w:rsidR="00A34595" w:rsidRPr="00FA0403">
        <w:t xml:space="preserve">en </w:t>
      </w:r>
      <w:r w:rsidR="008C3DDF">
        <w:t>M</w:t>
      </w:r>
      <w:r w:rsidR="00A34595" w:rsidRPr="00FA0403">
        <w:t xml:space="preserve">ateria de </w:t>
      </w:r>
      <w:r w:rsidR="008C3DDF">
        <w:t>C</w:t>
      </w:r>
      <w:r w:rsidR="00A34595" w:rsidRPr="00FA0403">
        <w:t>onsumo</w:t>
      </w:r>
      <w:r w:rsidR="008C3DDF">
        <w:t xml:space="preserve">, </w:t>
      </w:r>
      <w:r w:rsidR="00614BF5">
        <w:t>e</w:t>
      </w:r>
      <w:r w:rsidR="004C4D76" w:rsidRPr="00FA0403">
        <w:t>ner</w:t>
      </w:r>
      <w:r w:rsidR="003E1048">
        <w:t>o</w:t>
      </w:r>
      <w:r w:rsidR="004C4D76" w:rsidRPr="00FA0403">
        <w:t>–</w:t>
      </w:r>
      <w:r w:rsidR="00614BF5" w:rsidRPr="00FA0403">
        <w:t>noviembre</w:t>
      </w:r>
      <w:r w:rsidR="004C4D76" w:rsidRPr="00FA0403">
        <w:t xml:space="preserve"> 2025</w:t>
      </w:r>
      <w:bookmarkEnd w:id="2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43"/>
        <w:gridCol w:w="2241"/>
        <w:gridCol w:w="1462"/>
      </w:tblGrid>
      <w:tr w:rsidR="002029AD" w:rsidRPr="002029AD" w14:paraId="3FE7A199" w14:textId="77777777" w:rsidTr="00FE4CED">
        <w:trPr>
          <w:trHeight w:val="340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AF31212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08FE07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60622F0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4774D92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2029AD" w:rsidRPr="002029AD" w14:paraId="116CF323" w14:textId="77777777" w:rsidTr="008C3DDF">
        <w:trPr>
          <w:trHeight w:val="34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2FF7" w14:textId="77777777" w:rsidR="002029AD" w:rsidRPr="002029AD" w:rsidRDefault="002029AD" w:rsidP="002029A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029AD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Participantes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837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3,303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1585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3,619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6A5B" w14:textId="77777777" w:rsidR="002029AD" w:rsidRPr="00880170" w:rsidRDefault="002029AD" w:rsidP="00202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6,922</w:t>
            </w:r>
          </w:p>
        </w:tc>
      </w:tr>
    </w:tbl>
    <w:p w14:paraId="3B77BB10" w14:textId="4D19C921" w:rsidR="00536C3F" w:rsidRPr="003E1048" w:rsidRDefault="00536C3F" w:rsidP="00536C3F">
      <w:pPr>
        <w:jc w:val="both"/>
        <w:rPr>
          <w:rFonts w:ascii="Times New Roman" w:hAnsi="Times New Roman" w:cs="Times New Roman"/>
          <w:sz w:val="18"/>
          <w:szCs w:val="18"/>
        </w:rPr>
      </w:pPr>
      <w:r w:rsidRPr="003E1048">
        <w:rPr>
          <w:rFonts w:ascii="Times New Roman" w:hAnsi="Times New Roman" w:cs="Times New Roman"/>
          <w:sz w:val="18"/>
          <w:szCs w:val="18"/>
        </w:rPr>
        <w:t xml:space="preserve">Fuente: Departamento de Promoción y Asesoría al Consumidor y Proveedor y Departamento de Coordinación de Sedes </w:t>
      </w:r>
    </w:p>
    <w:p w14:paraId="0B1130DF" w14:textId="77777777" w:rsidR="004C4D76" w:rsidRPr="00FA0403" w:rsidRDefault="004C4D76" w:rsidP="00AB0E6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FBF875" w14:textId="0C596989" w:rsidR="002B1F6F" w:rsidRPr="008C3DDF" w:rsidRDefault="002B1F6F" w:rsidP="008C3DDF">
      <w:pPr>
        <w:pStyle w:val="Ttulo1"/>
      </w:pPr>
      <w:bookmarkStart w:id="24" w:name="_Toc216788742"/>
      <w:r w:rsidRPr="008C3DDF">
        <w:t>Libros Autorizados y Recepción de Expedientes de Contratos de Adhesión e Instrumentos de Medición y Pesaje</w:t>
      </w:r>
      <w:bookmarkEnd w:id="24"/>
    </w:p>
    <w:p w14:paraId="2DD1B72E" w14:textId="08261EDD" w:rsidR="00310DE9" w:rsidRPr="00FA0403" w:rsidRDefault="00310DE9" w:rsidP="00684ADE">
      <w:pPr>
        <w:jc w:val="both"/>
        <w:rPr>
          <w:rFonts w:ascii="Times New Roman" w:hAnsi="Times New Roman" w:cs="Times New Roman"/>
          <w:b/>
          <w:bCs/>
          <w:sz w:val="22"/>
          <w:szCs w:val="22"/>
          <w:shd w:val="clear" w:color="auto" w:fill="E0E0E0"/>
        </w:rPr>
      </w:pPr>
    </w:p>
    <w:p w14:paraId="1F5D93F5" w14:textId="2C8D8411" w:rsidR="00AC3F1E" w:rsidRPr="00FA0403" w:rsidRDefault="002B1F6F" w:rsidP="00AC3F1E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8406F9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autorizaron </w:t>
      </w:r>
      <w:r w:rsidR="00D15713" w:rsidRPr="00FA0403">
        <w:rPr>
          <w:rFonts w:ascii="Times New Roman" w:hAnsi="Times New Roman" w:cs="Times New Roman"/>
          <w:sz w:val="22"/>
          <w:szCs w:val="22"/>
        </w:rPr>
        <w:t>1</w:t>
      </w:r>
      <w:r w:rsidR="00E34309" w:rsidRPr="00FA0403">
        <w:rPr>
          <w:rFonts w:ascii="Times New Roman" w:hAnsi="Times New Roman" w:cs="Times New Roman"/>
          <w:sz w:val="22"/>
          <w:szCs w:val="22"/>
        </w:rPr>
        <w:t>,</w:t>
      </w:r>
      <w:r w:rsidR="008406F9" w:rsidRPr="00FA0403">
        <w:rPr>
          <w:rFonts w:ascii="Times New Roman" w:hAnsi="Times New Roman" w:cs="Times New Roman"/>
          <w:sz w:val="22"/>
          <w:szCs w:val="22"/>
        </w:rPr>
        <w:t>237</w:t>
      </w:r>
      <w:r w:rsidR="004A7537" w:rsidRPr="00FA0403">
        <w:rPr>
          <w:rFonts w:ascii="Times New Roman" w:hAnsi="Times New Roman" w:cs="Times New Roman"/>
          <w:sz w:val="22"/>
          <w:szCs w:val="22"/>
        </w:rPr>
        <w:t xml:space="preserve"> libros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 quejas</w:t>
      </w:r>
      <w:r w:rsidR="006958DE"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8406F9" w:rsidRPr="00FA0403">
        <w:rPr>
          <w:rFonts w:ascii="Times New Roman" w:hAnsi="Times New Roman" w:cs="Times New Roman"/>
          <w:sz w:val="22"/>
          <w:szCs w:val="22"/>
        </w:rPr>
        <w:t>733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8406F9" w:rsidRPr="00FA0403">
        <w:rPr>
          <w:rFonts w:ascii="Times New Roman" w:hAnsi="Times New Roman" w:cs="Times New Roman"/>
          <w:sz w:val="22"/>
          <w:szCs w:val="22"/>
        </w:rPr>
        <w:t>504</w:t>
      </w:r>
      <w:r w:rsidR="004A7537" w:rsidRPr="00FA0403">
        <w:rPr>
          <w:rFonts w:ascii="Times New Roman" w:hAnsi="Times New Roman" w:cs="Times New Roman"/>
          <w:sz w:val="22"/>
          <w:szCs w:val="22"/>
        </w:rPr>
        <w:t xml:space="preserve"> en</w:t>
      </w:r>
      <w:r w:rsidR="006958DE" w:rsidRPr="00FA0403">
        <w:rPr>
          <w:rFonts w:ascii="Times New Roman" w:hAnsi="Times New Roman" w:cs="Times New Roman"/>
          <w:sz w:val="22"/>
          <w:szCs w:val="22"/>
        </w:rPr>
        <w:t xml:space="preserve"> las Sede</w:t>
      </w:r>
      <w:r w:rsidR="00BF6DE9" w:rsidRPr="00FA0403">
        <w:rPr>
          <w:rFonts w:ascii="Times New Roman" w:hAnsi="Times New Roman" w:cs="Times New Roman"/>
          <w:sz w:val="22"/>
          <w:szCs w:val="22"/>
        </w:rPr>
        <w:t>s</w:t>
      </w:r>
      <w:r w:rsidR="006958DE" w:rsidRPr="00FA0403">
        <w:rPr>
          <w:rFonts w:ascii="Times New Roman" w:hAnsi="Times New Roman" w:cs="Times New Roman"/>
          <w:sz w:val="22"/>
          <w:szCs w:val="22"/>
        </w:rPr>
        <w:t xml:space="preserve"> Dep</w:t>
      </w:r>
      <w:r w:rsidR="00AC3F1E" w:rsidRPr="00FA0403">
        <w:rPr>
          <w:rFonts w:ascii="Times New Roman" w:hAnsi="Times New Roman" w:cs="Times New Roman"/>
          <w:sz w:val="22"/>
          <w:szCs w:val="22"/>
        </w:rPr>
        <w:t>artamentales</w:t>
      </w:r>
      <w:r w:rsidR="00A55C73" w:rsidRPr="00FA0403">
        <w:rPr>
          <w:rFonts w:ascii="Times New Roman" w:hAnsi="Times New Roman" w:cs="Times New Roman"/>
          <w:sz w:val="22"/>
          <w:szCs w:val="22"/>
        </w:rPr>
        <w:t xml:space="preserve">. 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Asimismo, se recibieron </w:t>
      </w:r>
      <w:r w:rsidR="001215F2" w:rsidRPr="00FA0403">
        <w:rPr>
          <w:rFonts w:ascii="Times New Roman" w:hAnsi="Times New Roman" w:cs="Times New Roman"/>
          <w:sz w:val="22"/>
          <w:szCs w:val="22"/>
        </w:rPr>
        <w:t>3</w:t>
      </w:r>
      <w:r w:rsidR="008406F9" w:rsidRPr="00FA0403">
        <w:rPr>
          <w:rFonts w:ascii="Times New Roman" w:hAnsi="Times New Roman" w:cs="Times New Roman"/>
          <w:sz w:val="22"/>
          <w:szCs w:val="22"/>
        </w:rPr>
        <w:t>2</w:t>
      </w:r>
      <w:r w:rsidR="006560C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C3F1E" w:rsidRPr="00FA0403">
        <w:rPr>
          <w:rFonts w:ascii="Times New Roman" w:hAnsi="Times New Roman" w:cs="Times New Roman"/>
          <w:sz w:val="22"/>
          <w:szCs w:val="22"/>
        </w:rPr>
        <w:t>expediente</w:t>
      </w:r>
      <w:r w:rsidR="006560C3" w:rsidRPr="00FA0403">
        <w:rPr>
          <w:rFonts w:ascii="Times New Roman" w:hAnsi="Times New Roman" w:cs="Times New Roman"/>
          <w:sz w:val="22"/>
          <w:szCs w:val="22"/>
        </w:rPr>
        <w:t>s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 para autorización de Contratos de Adhesión, </w:t>
      </w:r>
      <w:r w:rsidR="008406F9" w:rsidRPr="00FA0403">
        <w:rPr>
          <w:rFonts w:ascii="Times New Roman" w:hAnsi="Times New Roman" w:cs="Times New Roman"/>
          <w:sz w:val="22"/>
          <w:szCs w:val="22"/>
        </w:rPr>
        <w:t>15</w:t>
      </w:r>
      <w:r w:rsidR="00E4007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4A7537" w:rsidRPr="00FA0403">
        <w:rPr>
          <w:rFonts w:ascii="Times New Roman" w:hAnsi="Times New Roman" w:cs="Times New Roman"/>
          <w:sz w:val="22"/>
          <w:szCs w:val="22"/>
        </w:rPr>
        <w:t>en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 la Sede Central y </w:t>
      </w:r>
      <w:r w:rsidR="001215F2" w:rsidRPr="00FA0403">
        <w:rPr>
          <w:rFonts w:ascii="Times New Roman" w:hAnsi="Times New Roman" w:cs="Times New Roman"/>
          <w:sz w:val="22"/>
          <w:szCs w:val="22"/>
        </w:rPr>
        <w:t>17</w:t>
      </w:r>
      <w:r w:rsidR="00A84F04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en la Sedes Departamentales.  En cuanto a expedientes </w:t>
      </w:r>
      <w:r w:rsidR="007402A6" w:rsidRPr="00FA0403">
        <w:rPr>
          <w:rFonts w:ascii="Times New Roman" w:hAnsi="Times New Roman" w:cs="Times New Roman"/>
          <w:sz w:val="22"/>
          <w:szCs w:val="22"/>
        </w:rPr>
        <w:t xml:space="preserve">para la verificación de certificados </w:t>
      </w:r>
      <w:r w:rsidR="00AC3F1E" w:rsidRPr="00FA0403">
        <w:rPr>
          <w:rFonts w:ascii="Times New Roman" w:hAnsi="Times New Roman" w:cs="Times New Roman"/>
          <w:sz w:val="22"/>
          <w:szCs w:val="22"/>
        </w:rPr>
        <w:t>de Instrumentos de Medición y Pesaje, se recibieron</w:t>
      </w:r>
      <w:r w:rsidR="003953D3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215F2" w:rsidRPr="00FA0403">
        <w:rPr>
          <w:rFonts w:ascii="Times New Roman" w:hAnsi="Times New Roman" w:cs="Times New Roman"/>
          <w:sz w:val="22"/>
          <w:szCs w:val="22"/>
        </w:rPr>
        <w:t>152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D6768A" w:rsidRPr="00FA0403">
        <w:rPr>
          <w:rFonts w:ascii="Times New Roman" w:hAnsi="Times New Roman" w:cs="Times New Roman"/>
          <w:sz w:val="22"/>
          <w:szCs w:val="22"/>
        </w:rPr>
        <w:t>expedientes, como</w:t>
      </w:r>
      <w:r w:rsidR="00AC3F1E" w:rsidRPr="00FA0403">
        <w:rPr>
          <w:rFonts w:ascii="Times New Roman" w:hAnsi="Times New Roman" w:cs="Times New Roman"/>
          <w:sz w:val="22"/>
          <w:szCs w:val="22"/>
        </w:rPr>
        <w:t xml:space="preserve"> se detalla a continuación.</w:t>
      </w:r>
    </w:p>
    <w:p w14:paraId="5B82BB98" w14:textId="7DA4BB92" w:rsidR="00C11275" w:rsidRPr="00FA0403" w:rsidRDefault="00C11275" w:rsidP="00AC3F1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06B5F3" w14:textId="3B2ACE46" w:rsidR="002B1F6F" w:rsidRPr="00FA0403" w:rsidRDefault="002B1F6F" w:rsidP="00684E38">
      <w:pPr>
        <w:pStyle w:val="Tablas"/>
      </w:pPr>
      <w:bookmarkStart w:id="25" w:name="_Toc216797440"/>
      <w:r w:rsidRPr="00FA0403">
        <w:t xml:space="preserve">Cuadro </w:t>
      </w:r>
      <w:r w:rsidR="00051523" w:rsidRPr="00FA0403">
        <w:t>14</w:t>
      </w:r>
      <w:r w:rsidR="00F561D6">
        <w:t xml:space="preserve">: </w:t>
      </w:r>
      <w:r w:rsidRPr="00FA0403">
        <w:t>Libros Autorizados, Recepción de Expedientes de Contratos de Adhesión</w:t>
      </w:r>
      <w:r w:rsidR="00684E38">
        <w:t xml:space="preserve"> </w:t>
      </w:r>
      <w:r w:rsidRPr="00FA0403">
        <w:t>e Instrumentos de Medición y Pesaje</w:t>
      </w:r>
      <w:r w:rsidR="008C3DDF">
        <w:t xml:space="preserve">, </w:t>
      </w:r>
      <w:r w:rsidR="00614BF5">
        <w:t>noviembre</w:t>
      </w:r>
      <w:r w:rsidR="008C3DDF">
        <w:t xml:space="preserve"> 2025</w:t>
      </w:r>
      <w:bookmarkEnd w:id="2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1417"/>
        <w:gridCol w:w="2268"/>
        <w:gridCol w:w="1462"/>
      </w:tblGrid>
      <w:tr w:rsidR="003E1048" w:rsidRPr="003E1048" w14:paraId="1CA0286A" w14:textId="77777777" w:rsidTr="00FE4CED">
        <w:trPr>
          <w:trHeight w:val="340"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801F033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D6892A4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FCE8DAB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DEPARTAMENTALES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21DCF23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</w:tr>
      <w:tr w:rsidR="003E1048" w:rsidRPr="003E1048" w14:paraId="5A699C58" w14:textId="77777777" w:rsidTr="008C3DDF">
        <w:trPr>
          <w:trHeight w:val="34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34E9" w14:textId="77777777" w:rsidR="003E1048" w:rsidRPr="003E1048" w:rsidRDefault="003E1048" w:rsidP="003E10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E104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B6A5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733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648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8F91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1,237</w:t>
            </w:r>
          </w:p>
        </w:tc>
      </w:tr>
      <w:tr w:rsidR="003E1048" w:rsidRPr="003E1048" w14:paraId="4F580233" w14:textId="77777777" w:rsidTr="008C3DDF">
        <w:trPr>
          <w:trHeight w:val="34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C0AD" w14:textId="77777777" w:rsidR="003E1048" w:rsidRPr="003E1048" w:rsidRDefault="003E1048" w:rsidP="003E10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E104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Contratos de Adhesión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651F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198D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EE0C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32</w:t>
            </w:r>
          </w:p>
        </w:tc>
      </w:tr>
      <w:tr w:rsidR="003E1048" w:rsidRPr="003E1048" w14:paraId="62D983DB" w14:textId="77777777" w:rsidTr="008C3DDF">
        <w:trPr>
          <w:trHeight w:val="340"/>
        </w:trPr>
        <w:tc>
          <w:tcPr>
            <w:tcW w:w="2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4613" w14:textId="77777777" w:rsidR="003E1048" w:rsidRPr="003E1048" w:rsidRDefault="003E1048" w:rsidP="003E1048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E1048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Recepción de expedientes de Instrumentos de Medición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4827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E6BF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FA6A" w14:textId="77777777" w:rsidR="003E1048" w:rsidRPr="00880170" w:rsidRDefault="003E1048" w:rsidP="003E10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152</w:t>
            </w:r>
          </w:p>
        </w:tc>
      </w:tr>
    </w:tbl>
    <w:p w14:paraId="328C8EE8" w14:textId="08457F4B" w:rsidR="00AB0E67" w:rsidRPr="00F561D6" w:rsidRDefault="003953D3" w:rsidP="00AB0E67">
      <w:pPr>
        <w:jc w:val="both"/>
        <w:rPr>
          <w:rFonts w:ascii="Times New Roman" w:hAnsi="Times New Roman" w:cs="Times New Roman"/>
          <w:sz w:val="18"/>
          <w:szCs w:val="18"/>
        </w:rPr>
      </w:pPr>
      <w:r w:rsidRPr="00F561D6">
        <w:rPr>
          <w:rFonts w:ascii="Times New Roman" w:hAnsi="Times New Roman" w:cs="Times New Roman"/>
          <w:sz w:val="18"/>
          <w:szCs w:val="18"/>
        </w:rPr>
        <w:t>Fuente: Departamento</w:t>
      </w:r>
      <w:r w:rsidR="00536C3F" w:rsidRPr="00F561D6">
        <w:rPr>
          <w:rFonts w:ascii="Times New Roman" w:hAnsi="Times New Roman" w:cs="Times New Roman"/>
          <w:sz w:val="18"/>
          <w:szCs w:val="18"/>
        </w:rPr>
        <w:t>s</w:t>
      </w:r>
      <w:r w:rsidRPr="00F561D6">
        <w:rPr>
          <w:rFonts w:ascii="Times New Roman" w:hAnsi="Times New Roman" w:cs="Times New Roman"/>
          <w:sz w:val="18"/>
          <w:szCs w:val="18"/>
        </w:rPr>
        <w:t xml:space="preserve"> de Promoción y Asesoría al Consumidor y Proveedor</w:t>
      </w:r>
      <w:r w:rsidR="00536C3F" w:rsidRPr="00F561D6">
        <w:rPr>
          <w:rFonts w:ascii="Times New Roman" w:hAnsi="Times New Roman" w:cs="Times New Roman"/>
          <w:sz w:val="18"/>
          <w:szCs w:val="18"/>
        </w:rPr>
        <w:t>, Legal, Verificación y Vigilancia y</w:t>
      </w:r>
      <w:r w:rsidR="00AB0E67" w:rsidRPr="00F561D6">
        <w:rPr>
          <w:rFonts w:ascii="Times New Roman" w:hAnsi="Times New Roman" w:cs="Times New Roman"/>
          <w:sz w:val="18"/>
          <w:szCs w:val="18"/>
        </w:rPr>
        <w:t xml:space="preserve"> Coordinación de Sedes </w:t>
      </w:r>
    </w:p>
    <w:p w14:paraId="4B30192F" w14:textId="6506A848" w:rsidR="00C62F8D" w:rsidRPr="00FA0403" w:rsidRDefault="00C62F8D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752A62" w14:textId="77777777" w:rsidR="00F561D6" w:rsidRDefault="00F561D6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35A440" w14:textId="77777777" w:rsidR="00F561D6" w:rsidRDefault="00F561D6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944F11" w14:textId="77777777" w:rsidR="00D12194" w:rsidRDefault="00D12194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0655AF" w14:textId="77777777" w:rsidR="00795387" w:rsidRDefault="00795387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1C7535" w14:textId="77777777" w:rsidR="00795387" w:rsidRDefault="00795387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4AD2F6" w14:textId="4B11F623" w:rsidR="004C4D76" w:rsidRPr="00FA0403" w:rsidRDefault="004C4D76" w:rsidP="004C4D76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autorizado </w:t>
      </w:r>
      <w:r w:rsidR="008406F9" w:rsidRPr="00FA0403">
        <w:rPr>
          <w:rFonts w:ascii="Times New Roman" w:hAnsi="Times New Roman" w:cs="Times New Roman"/>
          <w:sz w:val="22"/>
          <w:szCs w:val="22"/>
        </w:rPr>
        <w:t>10,600</w:t>
      </w:r>
      <w:r w:rsidRPr="00FA0403">
        <w:rPr>
          <w:rFonts w:ascii="Times New Roman" w:hAnsi="Times New Roman" w:cs="Times New Roman"/>
          <w:sz w:val="22"/>
          <w:szCs w:val="22"/>
        </w:rPr>
        <w:t xml:space="preserve"> libros de quejas; </w:t>
      </w:r>
      <w:r w:rsidR="001215F2" w:rsidRPr="00FA0403">
        <w:rPr>
          <w:rFonts w:ascii="Times New Roman" w:hAnsi="Times New Roman" w:cs="Times New Roman"/>
          <w:sz w:val="22"/>
          <w:szCs w:val="22"/>
        </w:rPr>
        <w:t>5,</w:t>
      </w:r>
      <w:r w:rsidR="008406F9" w:rsidRPr="00FA0403">
        <w:rPr>
          <w:rFonts w:ascii="Times New Roman" w:hAnsi="Times New Roman" w:cs="Times New Roman"/>
          <w:sz w:val="22"/>
          <w:szCs w:val="22"/>
        </w:rPr>
        <w:t>958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1215F2" w:rsidRPr="00FA0403">
        <w:rPr>
          <w:rFonts w:ascii="Times New Roman" w:hAnsi="Times New Roman" w:cs="Times New Roman"/>
          <w:sz w:val="22"/>
          <w:szCs w:val="22"/>
        </w:rPr>
        <w:t>4,</w:t>
      </w:r>
      <w:r w:rsidR="008406F9" w:rsidRPr="00FA0403">
        <w:rPr>
          <w:rFonts w:ascii="Times New Roman" w:hAnsi="Times New Roman" w:cs="Times New Roman"/>
          <w:sz w:val="22"/>
          <w:szCs w:val="22"/>
        </w:rPr>
        <w:t>702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Departamentales, se han recibido </w:t>
      </w:r>
      <w:r w:rsidR="00FB4E6B" w:rsidRPr="00FA0403">
        <w:rPr>
          <w:rFonts w:ascii="Times New Roman" w:hAnsi="Times New Roman" w:cs="Times New Roman"/>
          <w:sz w:val="22"/>
          <w:szCs w:val="22"/>
        </w:rPr>
        <w:t>5</w:t>
      </w:r>
      <w:r w:rsidR="008406F9" w:rsidRPr="00FA0403">
        <w:rPr>
          <w:rFonts w:ascii="Times New Roman" w:hAnsi="Times New Roman" w:cs="Times New Roman"/>
          <w:sz w:val="22"/>
          <w:szCs w:val="22"/>
        </w:rPr>
        <w:t>92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 para la autorización de Contratos de Adhesión; </w:t>
      </w:r>
      <w:r w:rsidR="00D16481" w:rsidRPr="00FA0403">
        <w:rPr>
          <w:rFonts w:ascii="Times New Roman" w:hAnsi="Times New Roman" w:cs="Times New Roman"/>
          <w:sz w:val="22"/>
          <w:szCs w:val="22"/>
        </w:rPr>
        <w:t>2</w:t>
      </w:r>
      <w:r w:rsidR="008406F9" w:rsidRPr="00FA0403">
        <w:rPr>
          <w:rFonts w:ascii="Times New Roman" w:hAnsi="Times New Roman" w:cs="Times New Roman"/>
          <w:sz w:val="22"/>
          <w:szCs w:val="22"/>
        </w:rPr>
        <w:t>53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 y </w:t>
      </w:r>
      <w:r w:rsidR="00D16481" w:rsidRPr="00FA0403">
        <w:rPr>
          <w:rFonts w:ascii="Times New Roman" w:hAnsi="Times New Roman" w:cs="Times New Roman"/>
          <w:sz w:val="22"/>
          <w:szCs w:val="22"/>
        </w:rPr>
        <w:t>3</w:t>
      </w:r>
      <w:r w:rsidR="008406F9" w:rsidRPr="00FA0403">
        <w:rPr>
          <w:rFonts w:ascii="Times New Roman" w:hAnsi="Times New Roman" w:cs="Times New Roman"/>
          <w:sz w:val="22"/>
          <w:szCs w:val="22"/>
        </w:rPr>
        <w:t>39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Departamentales; en lo que respecta a </w:t>
      </w:r>
      <w:r w:rsidR="00B14E2B" w:rsidRPr="00FA0403">
        <w:rPr>
          <w:rFonts w:ascii="Times New Roman" w:hAnsi="Times New Roman" w:cs="Times New Roman"/>
          <w:sz w:val="22"/>
          <w:szCs w:val="22"/>
        </w:rPr>
        <w:t>expedientes para la verificación de certificados de Instrumentos de Medición y Pesaje</w:t>
      </w:r>
      <w:r w:rsidRPr="00FA0403">
        <w:rPr>
          <w:rFonts w:ascii="Times New Roman" w:hAnsi="Times New Roman" w:cs="Times New Roman"/>
          <w:sz w:val="22"/>
          <w:szCs w:val="22"/>
        </w:rPr>
        <w:t xml:space="preserve">, se han recibido </w:t>
      </w:r>
      <w:r w:rsidR="008406F9" w:rsidRPr="00FA0403">
        <w:rPr>
          <w:rFonts w:ascii="Times New Roman" w:hAnsi="Times New Roman" w:cs="Times New Roman"/>
          <w:sz w:val="22"/>
          <w:szCs w:val="22"/>
        </w:rPr>
        <w:t>2,151</w:t>
      </w:r>
      <w:r w:rsidRPr="00FA0403">
        <w:rPr>
          <w:rFonts w:ascii="Times New Roman" w:hAnsi="Times New Roman" w:cs="Times New Roman"/>
          <w:sz w:val="22"/>
          <w:szCs w:val="22"/>
        </w:rPr>
        <w:t xml:space="preserve"> expedientes.</w:t>
      </w:r>
    </w:p>
    <w:p w14:paraId="0005455B" w14:textId="6C43517C" w:rsidR="00EF7C83" w:rsidRPr="00FA0403" w:rsidRDefault="00EF7C83" w:rsidP="004C4D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7BAEA85" w14:textId="178E3FC6" w:rsidR="004C4D76" w:rsidRPr="00FA0403" w:rsidRDefault="004C4D76" w:rsidP="00684E38">
      <w:pPr>
        <w:pStyle w:val="Tablas"/>
      </w:pPr>
      <w:bookmarkStart w:id="26" w:name="_Toc216797441"/>
      <w:r w:rsidRPr="00FA0403">
        <w:t>Cuadro 15</w:t>
      </w:r>
      <w:r w:rsidR="00F561D6">
        <w:t xml:space="preserve">: </w:t>
      </w:r>
      <w:r w:rsidRPr="00FA0403">
        <w:t>Libros Autorizados, Recepción de Expedientes de Contratos de Adhesión e Instrumentos de Medición y Pesaje</w:t>
      </w:r>
      <w:r w:rsidR="00FE4CED">
        <w:t>,</w:t>
      </w:r>
      <w:r w:rsidR="00F561D6">
        <w:t xml:space="preserve"> </w:t>
      </w:r>
      <w:r w:rsidR="00614BF5">
        <w:t>e</w:t>
      </w:r>
      <w:r w:rsidRPr="00FA0403">
        <w:t>nero–</w:t>
      </w:r>
      <w:r w:rsidR="00614BF5">
        <w:t>noviembre</w:t>
      </w:r>
      <w:r w:rsidRPr="00FA0403">
        <w:t xml:space="preserve"> 202</w:t>
      </w:r>
      <w:r w:rsidR="00D77AB1" w:rsidRPr="00FA0403">
        <w:t>5</w:t>
      </w:r>
      <w:bookmarkEnd w:id="2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0"/>
        <w:gridCol w:w="1319"/>
        <w:gridCol w:w="2161"/>
        <w:gridCol w:w="1364"/>
      </w:tblGrid>
      <w:tr w:rsidR="00F561D6" w:rsidRPr="00F561D6" w14:paraId="7E6268EF" w14:textId="77777777" w:rsidTr="00FE4CED">
        <w:trPr>
          <w:trHeight w:val="720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EB4E31C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LINEAS DE TRABAJO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C798D81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E3649BB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SEDES                                    DEPARTAMENTALES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3B769CC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</w:t>
            </w:r>
            <w:r w:rsidRPr="00FE4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8EAADB" w:themeFill="accent1" w:themeFillTint="99"/>
                <w:lang w:val="es-MX" w:eastAsia="es-MX"/>
              </w:rPr>
              <w:t>OTAL</w:t>
            </w:r>
          </w:p>
        </w:tc>
      </w:tr>
      <w:tr w:rsidR="00F561D6" w:rsidRPr="00F561D6" w14:paraId="73E909ED" w14:textId="77777777" w:rsidTr="00F561D6">
        <w:trPr>
          <w:trHeight w:val="402"/>
        </w:trPr>
        <w:tc>
          <w:tcPr>
            <w:tcW w:w="2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9103" w14:textId="77777777" w:rsidR="00F561D6" w:rsidRPr="00F561D6" w:rsidRDefault="00F561D6" w:rsidP="00F561D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561D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Libros de Quejas Autorizados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10E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5,958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9C12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4,702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B0B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10,660</w:t>
            </w:r>
          </w:p>
        </w:tc>
      </w:tr>
      <w:tr w:rsidR="00F561D6" w:rsidRPr="00F561D6" w14:paraId="4625CE2B" w14:textId="77777777" w:rsidTr="00F561D6">
        <w:trPr>
          <w:trHeight w:val="402"/>
        </w:trPr>
        <w:tc>
          <w:tcPr>
            <w:tcW w:w="2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CD7F" w14:textId="77777777" w:rsidR="00F561D6" w:rsidRPr="00F561D6" w:rsidRDefault="00F561D6" w:rsidP="00F561D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561D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Contratos de Adhesión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5979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253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7D15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339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4781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592</w:t>
            </w:r>
          </w:p>
        </w:tc>
      </w:tr>
      <w:tr w:rsidR="00F561D6" w:rsidRPr="00F561D6" w14:paraId="4E2957E0" w14:textId="77777777" w:rsidTr="00F561D6">
        <w:trPr>
          <w:trHeight w:val="402"/>
        </w:trPr>
        <w:tc>
          <w:tcPr>
            <w:tcW w:w="2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2B34" w14:textId="77777777" w:rsidR="00F561D6" w:rsidRPr="00F561D6" w:rsidRDefault="00F561D6" w:rsidP="00F561D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561D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Expedientes de Instrumentos de Medición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CB9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2,151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B650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CD58" w14:textId="77777777" w:rsidR="00F561D6" w:rsidRPr="00880170" w:rsidRDefault="00F561D6" w:rsidP="00F561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80170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2,151</w:t>
            </w:r>
          </w:p>
        </w:tc>
      </w:tr>
    </w:tbl>
    <w:p w14:paraId="316BE9A9" w14:textId="193C833E" w:rsidR="00536C3F" w:rsidRDefault="00536C3F" w:rsidP="008D3567">
      <w:pPr>
        <w:rPr>
          <w:rFonts w:ascii="Times New Roman" w:hAnsi="Times New Roman" w:cs="Times New Roman"/>
          <w:sz w:val="18"/>
          <w:szCs w:val="18"/>
        </w:rPr>
      </w:pPr>
      <w:r w:rsidRPr="008D3567">
        <w:rPr>
          <w:rFonts w:ascii="Times New Roman" w:hAnsi="Times New Roman" w:cs="Times New Roman"/>
          <w:sz w:val="18"/>
          <w:szCs w:val="18"/>
        </w:rPr>
        <w:t>Fuente: Departamentos de Promoción y Asesoría al Consumidor y Proveedor, Legal, Verificación y Vigilancia y Coordinación</w:t>
      </w:r>
      <w:r w:rsidR="00757765" w:rsidRPr="008D3567">
        <w:rPr>
          <w:rFonts w:ascii="Times New Roman" w:hAnsi="Times New Roman" w:cs="Times New Roman"/>
          <w:sz w:val="18"/>
          <w:szCs w:val="18"/>
        </w:rPr>
        <w:t xml:space="preserve"> </w:t>
      </w:r>
      <w:r w:rsidRPr="008D3567">
        <w:rPr>
          <w:rFonts w:ascii="Times New Roman" w:hAnsi="Times New Roman" w:cs="Times New Roman"/>
          <w:sz w:val="18"/>
          <w:szCs w:val="18"/>
        </w:rPr>
        <w:t xml:space="preserve">de Sedes </w:t>
      </w:r>
    </w:p>
    <w:p w14:paraId="0BB30656" w14:textId="77777777" w:rsidR="00795387" w:rsidRPr="008D3567" w:rsidRDefault="00795387" w:rsidP="008D3567">
      <w:pPr>
        <w:rPr>
          <w:rFonts w:ascii="Times New Roman" w:hAnsi="Times New Roman" w:cs="Times New Roman"/>
          <w:sz w:val="18"/>
          <w:szCs w:val="18"/>
        </w:rPr>
      </w:pPr>
    </w:p>
    <w:p w14:paraId="3A2754D9" w14:textId="5DEC1F7A" w:rsidR="00AD7DD1" w:rsidRPr="00FA0403" w:rsidRDefault="00AD7DD1" w:rsidP="00B75D5A">
      <w:pPr>
        <w:rPr>
          <w:rFonts w:ascii="Times New Roman" w:hAnsi="Times New Roman" w:cs="Times New Roman"/>
          <w:b/>
          <w:sz w:val="22"/>
          <w:szCs w:val="22"/>
        </w:rPr>
      </w:pPr>
    </w:p>
    <w:p w14:paraId="56DB6405" w14:textId="0EE57B31" w:rsidR="004F4B95" w:rsidRPr="00892EEF" w:rsidRDefault="002B1F6F" w:rsidP="00892EEF">
      <w:pPr>
        <w:pStyle w:val="Graficas"/>
      </w:pPr>
      <w:bookmarkStart w:id="27" w:name="_Toc216799817"/>
      <w:bookmarkStart w:id="28" w:name="_Toc216800261"/>
      <w:r w:rsidRPr="00892EEF">
        <w:t xml:space="preserve">Gráfico </w:t>
      </w:r>
      <w:r w:rsidR="001C5FC2" w:rsidRPr="00892EEF">
        <w:t>3</w:t>
      </w:r>
      <w:r w:rsidR="004F4B95" w:rsidRPr="00892EEF">
        <w:t xml:space="preserve">: Libros Autorizados, Recepción de Expedientes de Contratos de </w:t>
      </w:r>
      <w:r w:rsidR="00FE4CED" w:rsidRPr="00892EEF">
        <w:t>Adhesión e</w:t>
      </w:r>
      <w:r w:rsidR="004F4B95" w:rsidRPr="00892EEF">
        <w:t xml:space="preserve"> Instrumentos de Medición y Pesaje</w:t>
      </w:r>
      <w:bookmarkEnd w:id="27"/>
      <w:r w:rsidR="00241E4B">
        <w:t>, enero-noviembre 2025</w:t>
      </w:r>
      <w:bookmarkEnd w:id="28"/>
    </w:p>
    <w:p w14:paraId="04B74812" w14:textId="03491289" w:rsidR="00CD564B" w:rsidRPr="00FA0403" w:rsidRDefault="00E02B0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2558C865" wp14:editId="38A570FD">
            <wp:extent cx="5971540" cy="3933825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DDBD6278-BF1D-4035-B4AF-B0C83966E2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AAB51C0" w14:textId="0E2C0BDC" w:rsidR="002B1F6F" w:rsidRPr="00FA0403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CF9C76" w14:textId="5546ED1A" w:rsidR="00FC5B82" w:rsidRDefault="00FC5B82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D02EEC4" w14:textId="2DCD79DB" w:rsidR="00E02B0F" w:rsidRDefault="00E02B0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C8A3FF" w14:textId="32483485" w:rsidR="00E02B0F" w:rsidRDefault="00E02B0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13A5B7" w14:textId="67C91753" w:rsidR="00E02B0F" w:rsidRDefault="00E02B0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A1A93A" w14:textId="32AA4154" w:rsidR="002B1F6F" w:rsidRPr="0032223F" w:rsidRDefault="002B1F6F" w:rsidP="0032223F">
      <w:pPr>
        <w:pStyle w:val="Ttulo1"/>
        <w:jc w:val="both"/>
      </w:pPr>
      <w:bookmarkStart w:id="29" w:name="_Toc216788743"/>
      <w:r w:rsidRPr="0032223F">
        <w:t>Verificación y Vigilancia</w:t>
      </w:r>
      <w:bookmarkEnd w:id="29"/>
    </w:p>
    <w:p w14:paraId="71E5E006" w14:textId="0CB4D37E" w:rsidR="002B1F6F" w:rsidRPr="00FA0403" w:rsidRDefault="002B1F6F" w:rsidP="002B1F6F">
      <w:pPr>
        <w:rPr>
          <w:rFonts w:ascii="Times New Roman" w:hAnsi="Times New Roman" w:cs="Times New Roman"/>
          <w:sz w:val="22"/>
          <w:szCs w:val="22"/>
        </w:rPr>
      </w:pPr>
    </w:p>
    <w:p w14:paraId="1AD02ABC" w14:textId="7E6E2A40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Las actividades realizadas de verificación y vigilancia durante el mes </w:t>
      </w:r>
      <w:r w:rsidR="00684ADE" w:rsidRPr="00FA0403">
        <w:rPr>
          <w:rFonts w:ascii="Times New Roman" w:hAnsi="Times New Roman" w:cs="Times New Roman"/>
          <w:sz w:val="22"/>
          <w:szCs w:val="22"/>
        </w:rPr>
        <w:t xml:space="preserve">de </w:t>
      </w:r>
      <w:r w:rsidR="008B1E40" w:rsidRPr="00FA0403">
        <w:rPr>
          <w:rFonts w:ascii="Times New Roman" w:hAnsi="Times New Roman" w:cs="Times New Roman"/>
          <w:sz w:val="22"/>
          <w:szCs w:val="22"/>
        </w:rPr>
        <w:t xml:space="preserve">noviembre </w:t>
      </w:r>
      <w:r w:rsidRPr="00FA0403">
        <w:rPr>
          <w:rFonts w:ascii="Times New Roman" w:hAnsi="Times New Roman" w:cs="Times New Roman"/>
          <w:sz w:val="22"/>
          <w:szCs w:val="22"/>
        </w:rPr>
        <w:t xml:space="preserve">en la Sede </w:t>
      </w:r>
      <w:r w:rsidR="00684ADE" w:rsidRPr="00FA0403">
        <w:rPr>
          <w:rFonts w:ascii="Times New Roman" w:hAnsi="Times New Roman" w:cs="Times New Roman"/>
          <w:sz w:val="22"/>
          <w:szCs w:val="22"/>
        </w:rPr>
        <w:t>Central,</w:t>
      </w:r>
      <w:r w:rsidRPr="00FA0403">
        <w:rPr>
          <w:rFonts w:ascii="Times New Roman" w:hAnsi="Times New Roman" w:cs="Times New Roman"/>
          <w:sz w:val="22"/>
          <w:szCs w:val="22"/>
        </w:rPr>
        <w:t xml:space="preserve"> así como en las Sedes Departamentales, se resumen en el cuadro siguiente: </w:t>
      </w:r>
    </w:p>
    <w:p w14:paraId="04098A0F" w14:textId="7D022495" w:rsidR="00C62F8D" w:rsidRPr="00FA0403" w:rsidRDefault="00C62F8D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2714B5" w14:textId="1C777471" w:rsidR="002B1F6F" w:rsidRPr="00FA0403" w:rsidRDefault="002B1F6F" w:rsidP="004F4B95">
      <w:pPr>
        <w:pStyle w:val="Tablas"/>
      </w:pPr>
      <w:bookmarkStart w:id="30" w:name="_Toc216797442"/>
      <w:r w:rsidRPr="00FA0403">
        <w:t xml:space="preserve">Cuadro </w:t>
      </w:r>
      <w:r w:rsidR="00051523" w:rsidRPr="00FA0403">
        <w:t>16</w:t>
      </w:r>
      <w:r w:rsidR="00E02B0F">
        <w:t xml:space="preserve">:  </w:t>
      </w:r>
      <w:r w:rsidRPr="00FA0403">
        <w:t>Verificaciones</w:t>
      </w:r>
      <w:r w:rsidR="00590048">
        <w:t>, noviembre 2025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  <w:gridCol w:w="1112"/>
        <w:gridCol w:w="1005"/>
        <w:gridCol w:w="1373"/>
        <w:gridCol w:w="1781"/>
      </w:tblGrid>
      <w:tr w:rsidR="00FE4CED" w:rsidRPr="008366CF" w14:paraId="117B2D4D" w14:textId="77777777" w:rsidTr="00EB4D58">
        <w:trPr>
          <w:trHeight w:val="340"/>
        </w:trPr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24F13D7" w14:textId="77777777" w:rsidR="00FE4CED" w:rsidRPr="008366CF" w:rsidRDefault="00FE4CED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LÍNEAS DE TRABAJO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B8CD1C" w14:textId="77777777" w:rsidR="00FE4CED" w:rsidRPr="008366CF" w:rsidRDefault="00FE4CED" w:rsidP="008366C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SEDE CENTRAL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2A1993F" w14:textId="77777777" w:rsidR="00FE4CED" w:rsidRPr="008366CF" w:rsidRDefault="00FE4CED" w:rsidP="008366C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SEDES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80B2EB" w14:textId="77777777" w:rsidR="00FE4CED" w:rsidRPr="008366CF" w:rsidRDefault="00FE4CED" w:rsidP="008366CF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05CC194" w14:textId="77777777" w:rsidR="00FE4CED" w:rsidRPr="008366CF" w:rsidRDefault="00FE4CED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ACUMULADO              ENERO-NOVIEMBRE</w:t>
            </w:r>
          </w:p>
        </w:tc>
      </w:tr>
      <w:tr w:rsidR="00FE4CED" w:rsidRPr="008366CF" w14:paraId="6CF05E33" w14:textId="77777777" w:rsidTr="00EB4D58">
        <w:trPr>
          <w:trHeight w:val="340"/>
        </w:trPr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D8590FB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817B4E4" w14:textId="77777777" w:rsidR="00FE4CED" w:rsidRPr="008366CF" w:rsidRDefault="00FE4CED" w:rsidP="008366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0836226" w14:textId="77777777" w:rsidR="00FE4CED" w:rsidRPr="008366CF" w:rsidRDefault="00FE4CED" w:rsidP="008366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B59250B" w14:textId="77777777" w:rsidR="00FE4CED" w:rsidRPr="008366CF" w:rsidRDefault="00FE4CED" w:rsidP="008366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5EEFDA7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FE4CED" w:rsidRPr="008366CF" w14:paraId="4EB2D55E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274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Tenencia del Libros de quejas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E396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479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A3FF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1,184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3173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1,663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A0CB03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11,846</w:t>
            </w:r>
          </w:p>
        </w:tc>
      </w:tr>
      <w:tr w:rsidR="00FE4CED" w:rsidRPr="008366CF" w14:paraId="07131205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68D1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Exhibición de Precios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E275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705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5C0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1905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933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C7BF96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5,435</w:t>
            </w:r>
          </w:p>
        </w:tc>
      </w:tr>
      <w:tr w:rsidR="00FE4CED" w:rsidRPr="008366CF" w14:paraId="10EF71D7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FC79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Etiquetado General de Productos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956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3EF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F5F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128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43B0F4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2,129</w:t>
            </w:r>
          </w:p>
        </w:tc>
      </w:tr>
      <w:tr w:rsidR="00FE4CED" w:rsidRPr="008366CF" w14:paraId="31E38B48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0E29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Instrumentos de Medición y Pesaje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88F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B60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8E9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25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F837D9D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250</w:t>
            </w:r>
          </w:p>
        </w:tc>
      </w:tr>
      <w:tr w:rsidR="00FE4CED" w:rsidRPr="008366CF" w14:paraId="6B81183F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167D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Contenido Neto en Productos 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Preempacados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57E8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84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3659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DC2E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84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B83C77A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1,705</w:t>
            </w:r>
          </w:p>
        </w:tc>
      </w:tr>
      <w:tr w:rsidR="00FE4CED" w:rsidRPr="008366CF" w14:paraId="4DEF35A0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083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Estaciones de Servicio (Combustibles) Plan Centinela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385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FEAA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A86F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4E27AB9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776</w:t>
            </w:r>
          </w:p>
        </w:tc>
      </w:tr>
      <w:tr w:rsidR="00FE4CED" w:rsidRPr="008366CF" w14:paraId="56F4E085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6DF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Plantas y Expendios de Gas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1A7E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9C0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5CC1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2DD486F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91</w:t>
            </w:r>
          </w:p>
        </w:tc>
      </w:tr>
      <w:tr w:rsidR="00FE4CED" w:rsidRPr="008366CF" w14:paraId="5E5E9D8B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3C3D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Publicidad Engañosa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B58C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76FB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3AB9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123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34A63E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1,406</w:t>
            </w:r>
          </w:p>
        </w:tc>
      </w:tr>
      <w:tr w:rsidR="00FE4CED" w:rsidRPr="008366CF" w14:paraId="5BB3AA82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D814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Precios de Canasta Básica 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576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167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BFB2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1,764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8C2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1,931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71A40D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19,461</w:t>
            </w:r>
          </w:p>
        </w:tc>
      </w:tr>
      <w:tr w:rsidR="00FE4CED" w:rsidRPr="008366CF" w14:paraId="702C940F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33C4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Monitoreos de otros productos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A751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A259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49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531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76230E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5,022</w:t>
            </w:r>
          </w:p>
        </w:tc>
      </w:tr>
      <w:tr w:rsidR="00FE4CED" w:rsidRPr="008366CF" w14:paraId="6D141342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0659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Combustibles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6AC3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311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D7A02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612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56EB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923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8E97E6A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8,063</w:t>
            </w:r>
          </w:p>
        </w:tc>
      </w:tr>
      <w:tr w:rsidR="00FE4CED" w:rsidRPr="008366CF" w14:paraId="1B290EAA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C14A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Precios de Gas Propano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068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103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504B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462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32C6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565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7FB47E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6,672</w:t>
            </w:r>
          </w:p>
        </w:tc>
      </w:tr>
      <w:tr w:rsidR="00FE4CED" w:rsidRPr="008366CF" w14:paraId="7A2271D1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4F3A" w14:textId="77777777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Colegios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11C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D17D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C37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79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002F1BA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287</w:t>
            </w:r>
          </w:p>
        </w:tc>
      </w:tr>
      <w:tr w:rsidR="00FE4CED" w:rsidRPr="008366CF" w14:paraId="096686F3" w14:textId="77777777" w:rsidTr="00EB4D58">
        <w:trPr>
          <w:trHeight w:val="340"/>
        </w:trPr>
        <w:tc>
          <w:tcPr>
            <w:tcW w:w="2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56DC" w14:textId="450477A3" w:rsidR="00FE4CED" w:rsidRPr="008366CF" w:rsidRDefault="00FE4CED" w:rsidP="008366C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Verificación de medidas preventivas de seguridad en venta de Juegos Pirotécnicos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0114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16DC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168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6A37AAA" w14:textId="77777777" w:rsidR="00FE4CED" w:rsidRPr="008366CF" w:rsidRDefault="00FE4CED" w:rsidP="00EB4D58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 w:rsidRPr="008366C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0</w:t>
            </w:r>
          </w:p>
        </w:tc>
      </w:tr>
    </w:tbl>
    <w:p w14:paraId="46763334" w14:textId="4C99D2AA" w:rsidR="00AB0E67" w:rsidRPr="00DB3795" w:rsidRDefault="00705233" w:rsidP="006E5AF0">
      <w:pPr>
        <w:jc w:val="both"/>
        <w:rPr>
          <w:rFonts w:ascii="Times New Roman" w:hAnsi="Times New Roman" w:cs="Times New Roman"/>
          <w:sz w:val="18"/>
          <w:szCs w:val="18"/>
        </w:rPr>
      </w:pPr>
      <w:r w:rsidRPr="00DB3795">
        <w:rPr>
          <w:rFonts w:ascii="Times New Roman" w:hAnsi="Times New Roman" w:cs="Times New Roman"/>
          <w:sz w:val="18"/>
          <w:szCs w:val="18"/>
        </w:rPr>
        <w:t xml:space="preserve">Fuente: Departamento de Verificación y Vigilancia y </w:t>
      </w:r>
      <w:r w:rsidR="00AB0E67" w:rsidRPr="00DB3795">
        <w:rPr>
          <w:rFonts w:ascii="Times New Roman" w:hAnsi="Times New Roman" w:cs="Times New Roman"/>
          <w:sz w:val="18"/>
          <w:szCs w:val="18"/>
        </w:rPr>
        <w:t xml:space="preserve">Departamento de Coordinación de Sedes </w:t>
      </w:r>
    </w:p>
    <w:p w14:paraId="158542FA" w14:textId="6DC1C059" w:rsidR="002B1F6F" w:rsidRPr="000244E4" w:rsidRDefault="002B1F6F" w:rsidP="000244E4">
      <w:pPr>
        <w:pStyle w:val="Ttulo1"/>
      </w:pPr>
      <w:bookmarkStart w:id="31" w:name="_Toc216788744"/>
      <w:r w:rsidRPr="000244E4">
        <w:t>Plan Centinela</w:t>
      </w:r>
      <w:bookmarkEnd w:id="31"/>
    </w:p>
    <w:p w14:paraId="3CFD0E4B" w14:textId="77777777" w:rsidR="00A220E9" w:rsidRPr="00FA0403" w:rsidRDefault="00A220E9" w:rsidP="00A220E9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37BBED4C" w14:textId="6EF558E9" w:rsidR="00225AED" w:rsidRPr="00FA0403" w:rsidRDefault="00225AED" w:rsidP="00225AED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el marco de este plan, en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realizaron verificaciones como se indica a continuación:</w:t>
      </w:r>
    </w:p>
    <w:p w14:paraId="50963DFF" w14:textId="77777777" w:rsidR="00FC5B82" w:rsidRPr="00FA0403" w:rsidRDefault="00FC5B82" w:rsidP="00A220E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7C023B" w14:textId="52AC1AD4" w:rsidR="008366CF" w:rsidRDefault="002B1F6F" w:rsidP="004F4B95">
      <w:pPr>
        <w:pStyle w:val="Tablas"/>
      </w:pPr>
      <w:bookmarkStart w:id="32" w:name="_Toc216797443"/>
      <w:r w:rsidRPr="00FA0403">
        <w:t xml:space="preserve">Cuadro </w:t>
      </w:r>
      <w:r w:rsidR="00225AED" w:rsidRPr="00FA0403">
        <w:t>1</w:t>
      </w:r>
      <w:r w:rsidR="00051523" w:rsidRPr="00FA0403">
        <w:t>7</w:t>
      </w:r>
      <w:r w:rsidR="00DB3795">
        <w:t xml:space="preserve">: </w:t>
      </w:r>
      <w:r w:rsidRPr="00FA0403">
        <w:t>Verificaciones Plan Centinela</w:t>
      </w:r>
      <w:r w:rsidR="00DB3795">
        <w:t xml:space="preserve">: </w:t>
      </w:r>
      <w:r w:rsidRPr="00FA0403">
        <w:t xml:space="preserve"> </w:t>
      </w:r>
      <w:r w:rsidR="00DB3795">
        <w:t xml:space="preserve"> </w:t>
      </w:r>
      <w:r w:rsidR="006958DE" w:rsidRPr="00FA0403">
        <w:t>Combustibles</w:t>
      </w:r>
      <w:r w:rsidR="00590048">
        <w:t>, noviembre 2025</w:t>
      </w:r>
      <w:bookmarkEnd w:id="32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467"/>
        <w:gridCol w:w="2350"/>
        <w:gridCol w:w="1028"/>
        <w:gridCol w:w="1028"/>
        <w:gridCol w:w="1028"/>
        <w:gridCol w:w="1028"/>
        <w:gridCol w:w="1028"/>
      </w:tblGrid>
      <w:tr w:rsidR="000244E4" w:rsidRPr="008366CF" w14:paraId="68454536" w14:textId="77777777" w:rsidTr="00A26DEF">
        <w:trPr>
          <w:trHeight w:val="340"/>
          <w:tblHeader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AC6C4A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C33989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# DE ACTAS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28310C4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DEPARTAMENTOS VERIFICADOS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26FA6E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ESTACIONES SIN LIBRO DE QUEJAS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76235E2" w14:textId="4B7CA7B8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ESTACIONES </w:t>
            </w:r>
            <w:r w:rsidR="0032223F"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CON EXHIBICIÓN</w:t>
            </w: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DE PRECIOS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DBA1CD6" w14:textId="61586018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# </w:t>
            </w:r>
            <w:r w:rsidR="0032223F"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SURTIDORES INMOVILIZADOS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7F0E96D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# SURTIDORES DESINMOVILIZADOS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037D077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SURTIDORES VERIFICADOS</w:t>
            </w:r>
          </w:p>
        </w:tc>
      </w:tr>
      <w:tr w:rsidR="000244E4" w:rsidRPr="008366CF" w14:paraId="370E4F73" w14:textId="77777777" w:rsidTr="0032223F">
        <w:trPr>
          <w:trHeight w:val="34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C9B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470B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3794" w14:textId="330400D2" w:rsidR="008366CF" w:rsidRPr="008366CF" w:rsidRDefault="008366CF" w:rsidP="008366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GUATEMALA (</w:t>
            </w:r>
            <w:r w:rsidR="0032223F"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Zonas 1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, 2, 3 Y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06A6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FEFF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5DAC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4B94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3A2A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169</w:t>
            </w:r>
          </w:p>
        </w:tc>
      </w:tr>
      <w:tr w:rsidR="000244E4" w:rsidRPr="008366CF" w14:paraId="3A36647C" w14:textId="77777777" w:rsidTr="0032223F">
        <w:trPr>
          <w:trHeight w:val="34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C1B9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B2F8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A8FD" w14:textId="1D649A1C" w:rsidR="008366CF" w:rsidRPr="008366CF" w:rsidRDefault="008366CF" w:rsidP="008366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(Amatitlán, Villa Nueva, San Miguel Petapa, </w:t>
            </w:r>
            <w:r w:rsidR="0032223F"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Guatemala (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Zonas 5, 7, 8, 9 Y 10) ESCUINTLA (Palín, San Vicente Pacaya, Escuintla)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C407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3BD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BF5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D16A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8935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716</w:t>
            </w:r>
          </w:p>
        </w:tc>
      </w:tr>
      <w:tr w:rsidR="000244E4" w:rsidRPr="008366CF" w14:paraId="1C46EB14" w14:textId="77777777" w:rsidTr="0032223F">
        <w:trPr>
          <w:trHeight w:val="34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C5A8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B5B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760E" w14:textId="0FDA94E8" w:rsidR="008366CF" w:rsidRPr="008366CF" w:rsidRDefault="008366CF" w:rsidP="008366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(Villa Nueva, Zona 10), JUTIAPA 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lastRenderedPageBreak/>
              <w:t>(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Conguaco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, Jalpatagua, Comapa, 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Moyuta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y </w:t>
            </w:r>
            <w:r w:rsidR="0032223F"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Jutiapa) y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QUICHE (San Pedro Jocopilas, Sacapulas, St. Lucia La Reforma, Quiché)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F989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FC0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A091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B005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563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269</w:t>
            </w:r>
          </w:p>
        </w:tc>
      </w:tr>
      <w:tr w:rsidR="000244E4" w:rsidRPr="008366CF" w14:paraId="0E413EC4" w14:textId="77777777" w:rsidTr="0032223F">
        <w:trPr>
          <w:trHeight w:val="34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1603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ABRIL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5053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54D2" w14:textId="2A2796CC" w:rsidR="008366CF" w:rsidRPr="008366CF" w:rsidRDefault="008366CF" w:rsidP="008366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(San Juan Sacatepéquez, Zona 11), SACATEPEQUEZ (Antigua Guatemala y Jocotenango), ESCUINTLA (Escuintla, Puerto de San José y Guanagazapa), SANTA ROSA (Taxisco), QUETZALTENANGO (San Martín Sacatepéquez, San Juan Ostuncalco y Concepción Chiquirichapa), SAN MARCOS (El Tumbador, San Rafael Pie de la Cuesta </w:t>
            </w:r>
            <w:r w:rsidR="0032223F"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y Esquipulas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Palo Gordo), ALTA VERAPAZ (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Senahú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, Cobán, Santa Catalina La Tinta, Santa </w:t>
            </w:r>
            <w:r w:rsidR="0032223F"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María</w:t>
            </w: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Cahabón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y Lanquín), IZABAL (Los Amates, Gualán y La Unión)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DFDF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30ED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F71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567E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14D0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647</w:t>
            </w:r>
          </w:p>
        </w:tc>
      </w:tr>
      <w:tr w:rsidR="000244E4" w:rsidRPr="008366CF" w14:paraId="226AA89E" w14:textId="77777777" w:rsidTr="0032223F">
        <w:trPr>
          <w:trHeight w:val="34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9873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7D45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A5E5" w14:textId="77777777" w:rsidR="008366CF" w:rsidRPr="008366CF" w:rsidRDefault="008366CF" w:rsidP="008366CF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(Zonas 11,12 y 13) JALAPA (Mataquescuintla, San Miguel Chaparrón, San Luis Jilotepeque, San Pedro Pinula) SOLOLA (San Pedro La Laguna, Santiago Atitlán, San Lucas Tolimán, San Antonio 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Palopó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, San Andrés </w:t>
            </w:r>
            <w:proofErr w:type="spellStart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Semetebaj</w:t>
            </w:r>
            <w:proofErr w:type="spellEnd"/>
            <w:r w:rsidRPr="008366C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, Panajachel, Sololá) BAJA VERAPAZ (Salamá)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1642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DA89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9D94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E825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1D1" w14:textId="77777777" w:rsidR="008366CF" w:rsidRPr="008366CF" w:rsidRDefault="008366CF" w:rsidP="008366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366C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312</w:t>
            </w:r>
          </w:p>
        </w:tc>
      </w:tr>
      <w:tr w:rsidR="0032223F" w:rsidRPr="00D03385" w14:paraId="60459262" w14:textId="77777777" w:rsidTr="0032223F">
        <w:trPr>
          <w:trHeight w:val="279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93BD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86C4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BD28" w14:textId="77777777" w:rsidR="00D03385" w:rsidRPr="00D03385" w:rsidRDefault="00D03385" w:rsidP="00D0338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SACATEPEQUEZ (Sumpango); CHIMALTENANGO (El Tejar); QUETZALTENANGO (San Carlos Sija, 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Olintepeque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, 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Cajolá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, Palestina); QUICHE (Pachalum, Joyabaj); BAJA VERAPAZ (Cubulco, Santa Cruz El Chol, Granados); ALTA VERAPAZ (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Tactic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, Santa Cruz Verapaz); PETEN (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Sayaxché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); IZABAL (Morales) CHIQUIMULA (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Quetzaltepeque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); ZACAPA (Teculután, San Diego, Cabañas, 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Huité</w:t>
            </w:r>
            <w:proofErr w:type="spellEnd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, Estanzuela y Zacapa)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8AF5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DAA1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359F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D427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A946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515</w:t>
            </w:r>
          </w:p>
        </w:tc>
      </w:tr>
      <w:tr w:rsidR="0032223F" w:rsidRPr="00D03385" w14:paraId="3B1DFF85" w14:textId="77777777" w:rsidTr="0032223F">
        <w:trPr>
          <w:trHeight w:val="3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9D07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172B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AF99" w14:textId="2581456C" w:rsidR="00D03385" w:rsidRPr="00D03385" w:rsidRDefault="00D03385" w:rsidP="00D0338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GUATEMALA (Zonas 15 y 16, Santa Catarina Pinula); </w:t>
            </w:r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lastRenderedPageBreak/>
              <w:t xml:space="preserve">SACATEPEQUEZ (Santiago Sacatepéquez, San Lucas Sacatepéquez); CHIMALTENANGO (Tecpán y San José </w:t>
            </w:r>
            <w:proofErr w:type="spellStart"/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Poaquil</w:t>
            </w:r>
            <w:proofErr w:type="spellEnd"/>
            <w:r w:rsidR="0032223F"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); RETALHULEU</w:t>
            </w:r>
            <w:r w:rsidRPr="00D03385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 xml:space="preserve"> (Retalhuleu y Champerico); SAN MARCOS (San Marcos); QUICHE (Joyabaj); JUTIAPA (Asunción Mita y Santa Catarina Mita)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7ED5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lastRenderedPageBreak/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40E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4E89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242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233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532</w:t>
            </w:r>
          </w:p>
        </w:tc>
      </w:tr>
      <w:tr w:rsidR="0032223F" w:rsidRPr="00D03385" w14:paraId="49DA796B" w14:textId="77777777" w:rsidTr="0032223F">
        <w:trPr>
          <w:trHeight w:val="214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67DD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AGOSTO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34E5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417" w14:textId="063B7105" w:rsidR="00D03385" w:rsidRPr="00D03385" w:rsidRDefault="00D03385" w:rsidP="00D0338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(Zonas 1, 2, 3 y 4); SACATEPEQUEZ (Santo Domingo </w:t>
            </w:r>
            <w:proofErr w:type="spellStart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Xenacoj</w:t>
            </w:r>
            <w:proofErr w:type="spellEnd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) EL PROGRESO (Sansare, San Cristóbal Acasaguastlán, San Agustín </w:t>
            </w:r>
            <w:r w:rsidR="0032223F"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Acasaguastlán</w:t>
            </w:r>
            <w:r w:rsidR="0032223F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,</w:t>
            </w:r>
            <w:r w:rsidR="0032223F"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Morazán</w:t>
            </w:r>
            <w:r w:rsidR="009B7422"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); SANTA</w:t>
            </w:r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ROSA (Barberena, Cuilapa y Pueblo Nuevo Viñas); QUETZALTENANGO (Coatepeque, Génova, y Flores Costa Cuca); SUCHITEPEQUEZ (</w:t>
            </w:r>
            <w:proofErr w:type="spellStart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Samayac</w:t>
            </w:r>
            <w:proofErr w:type="spellEnd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, San Pablo Jocopilas, San Antonio y San Miguel Panan); QUICHE (Nebaj, Chajul, San Juan </w:t>
            </w:r>
            <w:proofErr w:type="spellStart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Cotzal</w:t>
            </w:r>
            <w:proofErr w:type="spellEnd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) y ZACAPA (</w:t>
            </w:r>
            <w:proofErr w:type="spellStart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Usumatlán</w:t>
            </w:r>
            <w:proofErr w:type="spellEnd"/>
            <w:r w:rsidRPr="00D03385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CA75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DE1E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093A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D83A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011C" w14:textId="77777777" w:rsidR="00D03385" w:rsidRPr="00D03385" w:rsidRDefault="00D03385" w:rsidP="00D033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D03385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653</w:t>
            </w:r>
          </w:p>
        </w:tc>
      </w:tr>
      <w:tr w:rsidR="0032223F" w:rsidRPr="002127BE" w14:paraId="2D89FB70" w14:textId="77777777" w:rsidTr="0032223F">
        <w:trPr>
          <w:trHeight w:val="165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7301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 xml:space="preserve">SEPTIEMBRE 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855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059F" w14:textId="46197F81" w:rsidR="002127BE" w:rsidRPr="002127BE" w:rsidRDefault="002127BE" w:rsidP="002127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(Zonas16, 5, 17, 25 y 18, </w:t>
            </w:r>
            <w:r w:rsidR="0032223F"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Palencia, Mixco</w:t>
            </w:r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(Zonas 3, 7 y 1) y San José del Golfo); CHIMALTENANGO (Técpan, 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Patzicia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 y 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Patzún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); ESCUINTLA (Escuintla y 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Siquinalá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); TOTONICAPAN (San Francisco El Alto); QUETZALTENANGO (Cabricán y 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Huitán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); SAN MARCOS (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Ocos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, Ayutla y 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Pajapita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) y HUEHUETENANGO (Huehuetenango).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8D0F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7E32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26D8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0ED9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87A2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793</w:t>
            </w:r>
          </w:p>
        </w:tc>
      </w:tr>
      <w:tr w:rsidR="0032223F" w:rsidRPr="002127BE" w14:paraId="07FE5AF0" w14:textId="77777777" w:rsidTr="0032223F">
        <w:trPr>
          <w:trHeight w:val="129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CA43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OCTUBRE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4A5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82A5" w14:textId="77777777" w:rsidR="002127BE" w:rsidRPr="002127BE" w:rsidRDefault="002127BE" w:rsidP="002127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GUATEMALA (Villa Nueva, Zona 18, San Miguel Petapa, Zona 21 y 12, San Pedro Ayampuc, Chinautla, Palencia, Zona 4 de Mixco); ESCUINTLA, SOLOLA, QUETZALTENANGO (Quetzaltenango y Salcajá); ZACAPA (Rio Hondo).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293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3B0C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3FE8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8D8E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7E8A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639</w:t>
            </w:r>
          </w:p>
        </w:tc>
      </w:tr>
      <w:tr w:rsidR="0032223F" w:rsidRPr="002127BE" w14:paraId="5CF8B069" w14:textId="77777777" w:rsidTr="0032223F">
        <w:trPr>
          <w:trHeight w:val="3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4C1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2976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7C8A" w14:textId="77777777" w:rsidR="002127BE" w:rsidRPr="002127BE" w:rsidRDefault="002127BE" w:rsidP="002127BE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GUATEMALA (Zonas 4, 6, 7 y 8 de Mixco, y San Miguel Petapa); SOLOLÁ (Panajachel </w:t>
            </w:r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lastRenderedPageBreak/>
              <w:t>y Sololá); SAN MARCOS (</w:t>
            </w:r>
            <w:proofErr w:type="spellStart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Tejutla</w:t>
            </w:r>
            <w:proofErr w:type="spellEnd"/>
            <w:r w:rsidRPr="002127BE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 xml:space="preserve">); ZACAPA (Rio Hondo, y Gualán); y CHIQUIMULA (San Juan Ermita, Jocotán, Camotán y Chiquimula).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0E6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736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3A2D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95BC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086A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445</w:t>
            </w:r>
          </w:p>
        </w:tc>
      </w:tr>
      <w:tr w:rsidR="000244E4" w:rsidRPr="002127BE" w14:paraId="65ECE48B" w14:textId="77777777" w:rsidTr="00A26DEF">
        <w:trPr>
          <w:trHeight w:val="42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B94872F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12E427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C769FD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C39BCC4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E0B8B56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BED3DCD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768E053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D72BDEB" w14:textId="77777777" w:rsidR="002127BE" w:rsidRPr="002127BE" w:rsidRDefault="002127BE" w:rsidP="002127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27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5,690</w:t>
            </w:r>
          </w:p>
        </w:tc>
      </w:tr>
    </w:tbl>
    <w:p w14:paraId="1C3C2B44" w14:textId="0F361139" w:rsidR="006E5AF0" w:rsidRPr="00D12194" w:rsidRDefault="006E5AF0" w:rsidP="006E5AF0">
      <w:pPr>
        <w:jc w:val="both"/>
        <w:rPr>
          <w:rFonts w:ascii="Times New Roman" w:hAnsi="Times New Roman" w:cs="Times New Roman"/>
          <w:sz w:val="18"/>
          <w:szCs w:val="18"/>
        </w:rPr>
      </w:pPr>
      <w:r w:rsidRPr="00D12194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5BD0617B" w14:textId="77777777" w:rsidR="009B7422" w:rsidRDefault="009B7422" w:rsidP="0032223F">
      <w:pPr>
        <w:rPr>
          <w:rFonts w:ascii="Times New Roman" w:hAnsi="Times New Roman" w:cs="Times New Roman"/>
          <w:b/>
          <w:sz w:val="22"/>
          <w:szCs w:val="22"/>
        </w:rPr>
      </w:pPr>
    </w:p>
    <w:p w14:paraId="0BBAA0BF" w14:textId="49A4F02B" w:rsidR="00FC5C4F" w:rsidRPr="00FA0403" w:rsidRDefault="00EB4D58" w:rsidP="00EB4D58">
      <w:pPr>
        <w:pStyle w:val="Tablas"/>
      </w:pPr>
      <w:bookmarkStart w:id="33" w:name="_Toc216797444"/>
      <w:r w:rsidRPr="00EB4D58">
        <w:t>Cuadro 18:  Verificaciones Plan Centinela:  Plantas de Gas Propano</w:t>
      </w:r>
      <w:r w:rsidR="00590048">
        <w:t>, noviembre 2025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18"/>
        <w:gridCol w:w="56"/>
        <w:gridCol w:w="1311"/>
        <w:gridCol w:w="1562"/>
        <w:gridCol w:w="805"/>
        <w:gridCol w:w="1174"/>
        <w:gridCol w:w="811"/>
        <w:gridCol w:w="291"/>
        <w:gridCol w:w="179"/>
        <w:gridCol w:w="111"/>
        <w:gridCol w:w="241"/>
        <w:gridCol w:w="501"/>
        <w:gridCol w:w="254"/>
        <w:gridCol w:w="17"/>
        <w:gridCol w:w="274"/>
        <w:gridCol w:w="901"/>
      </w:tblGrid>
      <w:tr w:rsidR="00EB4D58" w:rsidRPr="00AD4BCB" w14:paraId="5A37EE87" w14:textId="77777777" w:rsidTr="00A26DEF">
        <w:trPr>
          <w:trHeight w:val="340"/>
          <w:tblHeader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8D5B33E" w14:textId="17DAA134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29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4A33D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PLANTAS DE GAS PROPANO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EB331D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CUMPLE PESO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B8BFF8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EXHIBICIÓN DE PRECIOS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4D7235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LIBRO DE QUEJAS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C73315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OBSEVACIONES</w:t>
            </w:r>
          </w:p>
        </w:tc>
      </w:tr>
      <w:tr w:rsidR="00EB4D58" w:rsidRPr="00AD4BCB" w14:paraId="6E979909" w14:textId="77777777" w:rsidTr="00A26DEF">
        <w:trPr>
          <w:trHeight w:val="340"/>
          <w:tblHeader/>
        </w:trPr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EC6A5C8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5D2C35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19CF11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CD8FAD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No. DE PLANTAS VERIFICADAS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B1AA4A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 LA PLANTA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82C53A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CILINDOS VERIFICADOS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791AFD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B13AF3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D3577D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4463E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5B9701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60E97D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8E32F3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</w:p>
        </w:tc>
      </w:tr>
      <w:tr w:rsidR="00EB4D58" w:rsidRPr="00AD4BCB" w14:paraId="2E06F1D9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EDB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ENERO</w:t>
            </w: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AAF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DBD8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B3D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94F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D15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636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34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897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6C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47F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418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C88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6814160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CFA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E78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DFD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0A2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461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B43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24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F55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431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37B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804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71E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8C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2DF840B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5FA88" w14:textId="0C3CD931" w:rsidR="00AD4BCB" w:rsidRPr="00AD4BCB" w:rsidRDefault="00AD4BCB" w:rsidP="00AD4B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ENERO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591A9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DA48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7E16E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4079E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237C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7401C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73FED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043AA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AC32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D88A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6F6AFFF5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87F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FEBRERO</w:t>
            </w: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7A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GUATEMALA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C27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MIXCO ZONA 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55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48A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MAC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A7F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1B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C4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A5A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D00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64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C59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A6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12880852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5FD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0B6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71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MIXCO ZONA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997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69F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TROPIGAS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FCF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902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B3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A4B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F87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FFB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ED7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D95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1643090D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F53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7D5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DDF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VILLA NUEVA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11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8C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ZETA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D00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8CD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88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D0E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26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D55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98F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093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0B6F6A1F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06A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E5D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42E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55C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C16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ORWALL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CEF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28C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F7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18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CA9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6C0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2CD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231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35E0D090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F0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EA82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4D5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MIGUEL PETAPA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49A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B06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7C9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DC9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1E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C4D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0C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2C6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1A2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10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3EBB1D7D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014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A6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43E7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GUATEMALA ZONA 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D2E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D30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DAGAS GAS UNICO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DD2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108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6E6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67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21B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281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DB5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7B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11AD49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079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35FB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A225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359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AF8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TROPIGAS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088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DD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69E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3B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25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733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84C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F18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3DE6C25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F2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307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3584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GUATEMALA ZONA 15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FA7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E8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 CEIBA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32B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41A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C0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957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2EC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4AC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62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B2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1C16007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AD7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734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DB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GUATEMALA ZONA 17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86D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BD8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DAGAS GAS UNICO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C2F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AA0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F93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1DB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BD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204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F3D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CFC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046DA5B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137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E9E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917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GUATEMALA ZONA 18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6A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CCD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TRINIDAD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774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8FF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3CD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7D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D8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137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FC1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EBF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52F490E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96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F9D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AD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32B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7094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TROPIGAS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912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E95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2A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19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FCF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0A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96F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403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5241AE4B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427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B5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SACATEPEQUEZ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271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SANTIAGO SACATEPEQUEZ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E8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87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proofErr w:type="gramStart"/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 xml:space="preserve">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46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871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484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BE7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F9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7A8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F81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833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481047A4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60D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0B8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FC95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BARTOLOME MILPAS ALTAS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9EF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5F52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BFF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D47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D5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94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9D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CA6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D22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E9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6C97E095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3E6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283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EF24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BARBERENA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DE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B89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RAPIGAS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AC9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870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DD0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78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4EF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D03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53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597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22FD5BE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9B9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D4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449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303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B8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EBF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448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EAC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C36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7B4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88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2BD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133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66A33BE7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BBD594" w14:textId="5BD72020" w:rsidR="00AD4BCB" w:rsidRPr="00AD4BCB" w:rsidRDefault="00AD4BCB" w:rsidP="00AD4B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</w:t>
            </w: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FEBRERO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FD8A18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A7BA5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3C28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6A1CE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E42A7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3E729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0119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04AF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8AF8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72F16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1A9A7B4B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FE1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MARZO</w:t>
            </w: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69E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ZACAPA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993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ESTANZUELA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C7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4EB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366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0B1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6AF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E1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472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E6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30E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05C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6EA6B15C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89C5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F3B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ED0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RIO HONDO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C91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482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EC7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2A5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90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EAF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187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2D5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D917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E92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5A82A48B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F0D0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DA6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5E5E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ZACAPA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CD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880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E4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0D6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614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4BA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8A0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180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7477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E97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BD5A5AC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F3D5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179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CHIQUIMULA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69B9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CHIQUIMULA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B9B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B32F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3E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184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E69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80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44D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6B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63A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A4B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6866A5E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1AE78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F1C84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D582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QUEZALTEPEQUE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C919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9B00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NUESTRO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D73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56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794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0FB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472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44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9DC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33BB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523312E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B8565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473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JALAPA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B6F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JALAPA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5D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AE3A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A7B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A7C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0D8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C40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DFF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D82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B1B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F15B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08AE7FE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7EB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C35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JUTIAPA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B56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PROGRESO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E1C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63B6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23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060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DCD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0B5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6157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3FE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C6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767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42996F37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FA11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31A5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E1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JUTIAPA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5362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B263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6D5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43C1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1B15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B18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152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74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15AC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6A3D" w14:textId="77777777" w:rsidR="00AD4BCB" w:rsidRPr="00AD4BCB" w:rsidRDefault="00AD4BCB" w:rsidP="00AD4BC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AD4BCB" w14:paraId="7F2D7676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4C6EA5" w14:textId="619EDA4C" w:rsidR="00AD4BCB" w:rsidRPr="00AD4BCB" w:rsidRDefault="0032223F" w:rsidP="00AD4BC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proofErr w:type="gramStart"/>
            <w:r w:rsidRPr="00AD4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DE</w:t>
            </w:r>
            <w:r w:rsidR="00AD4BCB" w:rsidRPr="00AD4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 xml:space="preserve"> MARZO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D655D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668E2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695C0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FCE9F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865CC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61E60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8057E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578A96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CA3AA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F7E4F" w14:textId="77777777" w:rsidR="00AD4BCB" w:rsidRPr="00AD4BCB" w:rsidRDefault="00AD4BCB" w:rsidP="00AD4B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</w:pPr>
            <w:r w:rsidRPr="00AD4B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EB4D58" w:rsidRPr="00F179FB" w14:paraId="2A90CED0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C19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ABRIL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5F4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SUCHITEPEQUEZ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00D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CUYOTENANGO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FE8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DF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C7C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FC0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A2B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F7D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815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A2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299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49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596BB78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ABFC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1FD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3A1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61C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6FA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5DE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89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07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A95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6FE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4E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104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59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6B08C8FD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2968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974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C0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SEBASTIAN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BD7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A11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1E1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486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79A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B42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877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189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8CE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8CA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2ACAA91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37D3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384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 MARCOS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472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QUETZAL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559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8B6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proofErr w:type="gramStart"/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MINI PLANTA</w:t>
            </w:r>
            <w:proofErr w:type="gramEnd"/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 xml:space="preserve"> COATEPEQUE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9AF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1F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A73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C61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49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B5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812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031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77B7D65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5081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E0B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3E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TECUN UMAN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A7E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4EB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D87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D99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74F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D11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1D4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8ED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B6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594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25528425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65BC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406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30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AYUTLA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AB2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B8B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F3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B87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DA1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FE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32D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0F9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F73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CD0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2D3D9F95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43EA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EB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73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MARCOS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020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27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EXPRESS MARI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B4D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C97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ECC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C03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F3D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749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D4D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26D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7311306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1FE7AE" w14:textId="2CBAD517" w:rsidR="00F179FB" w:rsidRPr="00F179FB" w:rsidRDefault="00F179FB" w:rsidP="00F179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DE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ABRIL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7BBC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8D2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7FD74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737F6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EBC23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85FD5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3B74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B417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B32D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D97A2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0E9E717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EA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MAYO</w:t>
            </w: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AF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ESCUINTLA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0D3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ESCUINTLA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0FB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476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COSTAGAS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5B4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D8F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AA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AC4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448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E61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55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71A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6944B191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571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D3D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E26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3FD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2FE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3C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10E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83D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76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DA8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750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A80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69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6301E10F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E6C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FD7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AE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A48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AEE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ZETA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AD6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179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283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6AB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2EB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32A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FC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A6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549CA7F6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E60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B6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SUCHITEPEQUEZ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4C0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RIO BRAVO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05A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299" w14:textId="42F46FD2" w:rsidR="00F179FB" w:rsidRPr="00F179FB" w:rsidRDefault="00614BF5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MINIPLANTA</w:t>
            </w:r>
            <w:r w:rsidR="00F179FB"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 xml:space="preserve"> CHIPO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91D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5E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716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A6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0C8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C0A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60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DE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E3ECBFE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5D3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C59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2C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CUYOTENANGO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910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7151" w14:textId="53CF71CF" w:rsidR="00F179FB" w:rsidRPr="00F179FB" w:rsidRDefault="00614BF5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293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CEF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A51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F2A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7F9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565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48A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113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A775A88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94A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D28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D17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ASINTAL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9D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EA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EXP´RESS ZETA EL XAB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776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31E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97C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88D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120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42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83C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12D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A073E2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F57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D5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D65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8C2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E2B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9C0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46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621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DED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70B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A55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56D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8A0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4C514271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2A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73D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1BB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SEBASTIAN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742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F0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583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57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EA7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693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535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954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D35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D8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00962870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27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374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6A8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8D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1AA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ZETA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40A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F9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89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530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33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02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AC4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7E6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5F6BD6EE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D3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3CF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 MARCOS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678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QUETZAL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39B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4BD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5A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0D3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32D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B0C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94B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28E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AEC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590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45B98897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63C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BD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597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TECUN UMAN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B9B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788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B57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96C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15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AE7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74E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BCE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E03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A1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346F231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F53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986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1FB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FB1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5E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ZETA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D3C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596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862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AB6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7C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52A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20E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29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0A1FE6A9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62083" w14:textId="57F5B77D" w:rsidR="00F179FB" w:rsidRPr="00F179FB" w:rsidRDefault="00F179FB" w:rsidP="00F179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MAYO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DA0BD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05378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042F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68A9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EF8C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19C56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5D5B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5495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A6ED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2BBDD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7C7C0F2" w14:textId="77777777" w:rsidTr="00EB4D58">
        <w:trPr>
          <w:trHeight w:val="340"/>
        </w:trPr>
        <w:tc>
          <w:tcPr>
            <w:tcW w:w="7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A24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JUNIO</w:t>
            </w: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98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ESCUINTLA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D6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ESCUINTLA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704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28D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5F2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E9E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673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298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1E1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01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680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CA4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2198E99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B6A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A4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3B7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E8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D9A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COSTA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8F8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AF7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536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805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43B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4C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D3B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96E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8C0967B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805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B46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0C3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A1C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DB7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UNICO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1B3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665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3BD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D3A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124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E86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04E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74E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50ABD28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61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B98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QUETZALTENANGO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433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QUETZALTENANGO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604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90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EXPRESS ELIZA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689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D6D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58A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167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F9F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988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4D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57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964DAC1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8EB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943E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C3D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87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363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DIST. GAS DE LEON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BA8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22D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7D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957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3D6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F78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B37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3C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F0972FD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29B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C78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E6B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23E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D61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132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88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158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4B9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884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427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94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F19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F4FDFE6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502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53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D42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SALCAJA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C13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AF3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B8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50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69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177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5B8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B9C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1DE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E2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E887161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45B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11B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4EC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CANTEL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219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C79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UNICO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A94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69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659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FE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4EA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6DA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8BB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C27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66833947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4C6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E8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6CC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B3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523E" w14:textId="567E8BA2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MINIPLANTA SHALOM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F8A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5B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07F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572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DEF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756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DC0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12C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0E1823A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4297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86F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02C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83F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48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MIPGAS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780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B0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133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92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AF3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BAF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363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08A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0040BAD8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E3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F78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D7F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COATEPEQUE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2EB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E71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LAS PALMAS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2C1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243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8FD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64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AE4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4A6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552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528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CFA6BE4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B3F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70E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SUCHITEPEQUEZ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82D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CUYOTENANGO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71F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D91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F2F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2B8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B52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E92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35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3C9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95A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A4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683C409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177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F94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1F5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SEBASTIAN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95D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EEA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956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649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C17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450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F8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C6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591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D2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05CD6AF9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23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72ED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C67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967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728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5F3D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464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141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29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99E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0AD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A99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6E6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5CAC87E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935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7C5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32F4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RETALHULEU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A59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66D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F8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A83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440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558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B7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530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778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30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3E0881B7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FDD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C39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 MARCOS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72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QUETZAL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91A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AC7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D69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DB3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7B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431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6A06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498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E8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10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0A1532A3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2C75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82AF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48E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TECUN UMAN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34F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5AA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28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AE1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9C1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AE55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5B8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083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4E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CF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17D00109" w14:textId="77777777" w:rsidTr="00EB4D58">
        <w:trPr>
          <w:trHeight w:val="340"/>
        </w:trPr>
        <w:tc>
          <w:tcPr>
            <w:tcW w:w="7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F1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16C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611C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AYUTLA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036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492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2D6C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4D8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A803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3EC0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66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821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183B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61C9" w14:textId="77777777" w:rsidR="00F179FB" w:rsidRPr="00F179FB" w:rsidRDefault="00F179FB" w:rsidP="00F179FB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F179FB" w14:paraId="723DDAFE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485C5" w14:textId="2643B21D" w:rsidR="00F179FB" w:rsidRPr="00F179FB" w:rsidRDefault="00F179FB" w:rsidP="00F179F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JUNIO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4CA5B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7D49F3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AB02A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9520A2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11DDD7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845AB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156C51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E93CEE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D36309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B0B4F" w14:textId="77777777" w:rsidR="00F179FB" w:rsidRPr="00F179FB" w:rsidRDefault="00F179FB" w:rsidP="00F179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F179F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4E71D26A" w14:textId="77777777" w:rsidTr="00EB4D58">
        <w:trPr>
          <w:trHeight w:val="340"/>
        </w:trPr>
        <w:tc>
          <w:tcPr>
            <w:tcW w:w="8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F4D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JULIO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4EF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484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BARBERENA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BC1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62B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4A4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4A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F886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15C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53A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1DD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77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3C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3EA882A8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DA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84DC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E1D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324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5A0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RAPIGAS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98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3E5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FB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C5A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AE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73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DF1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BE8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3941B8CB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EA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64E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ZACAPA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3AD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ZACAPA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5D4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C9A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E3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AA7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9A8D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E37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610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8C6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2F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98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517A3894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1B30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D94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492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ESTANZUELA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F90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E45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23D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6F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472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363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47B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AF2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B1E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37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66258333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5B4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D67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0EE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RIO HONDO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05D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EDFD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UNICO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2A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993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4CF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4B5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D9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85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E33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E61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78F4EFBF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37F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8D1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CHIQUIMULA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D32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CHIQUIMULA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41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EE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83C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45C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029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3B2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73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E93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448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4BC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7D2A426C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5AE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2857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2AD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DA5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14A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0F9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64F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97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199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B2E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4E7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CDE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47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6B90AD4B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197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3B0D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6AD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QUETZALTEPEQUE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A38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61A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NUESTRO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692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599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51E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6A7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8B3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55A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F87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24E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58EEFCAD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031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6CE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JALAPA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3C3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JALAPA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96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2A9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9AF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49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BB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9B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62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996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52C6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328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57C5A155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4E30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48360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0979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8CE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31B6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GLOBAL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DFC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5B6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D7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20B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4C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04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37F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25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1DA9B72A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2926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668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JUTIAPA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2D1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PROGRESO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83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0B7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159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216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38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255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A57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91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2DA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685D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024EF3B4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E49802" w14:textId="26996083" w:rsidR="006C1440" w:rsidRPr="006C1440" w:rsidRDefault="006C1440" w:rsidP="006C14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JULIO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A83EB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B094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210E3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2A364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04E4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76EA0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FC12C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6899F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8158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F236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3C7F3414" w14:textId="77777777" w:rsidTr="00EB4D58">
        <w:trPr>
          <w:trHeight w:val="340"/>
        </w:trPr>
        <w:tc>
          <w:tcPr>
            <w:tcW w:w="8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F17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AGOSTO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617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SACATEPEQUEZ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C6AD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BARTOLOME MILPAS ALTAS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0B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C9A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72A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E42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9F8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004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4B2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3EC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653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7BD4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1DBC91BF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C8B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127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CHIMALTENANGO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33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CHIMALTENANGO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746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6A5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CHIMALTECO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59C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525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AD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EC0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6D10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E8F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845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A1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5D843E54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1CE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0C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17F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TEJAR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19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884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884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0C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73C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4FD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CDE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3A1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7BEA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C66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28198B5A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FE4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8507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01B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TECPAN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58D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91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ANY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8F5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978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11B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A23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180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91D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B2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7A2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75E75DDA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BF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CAF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689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PATZICIA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151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E73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INTERAMERICANO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2D0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813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129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40B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6AB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F90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57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095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230C0577" w14:textId="77777777" w:rsidTr="00EB4D58">
        <w:trPr>
          <w:trHeight w:val="340"/>
        </w:trPr>
        <w:tc>
          <w:tcPr>
            <w:tcW w:w="8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595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8D9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C2B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SUMPANGO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C2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4C3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TOMA Y MAS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D4D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E2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2B0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2CC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15C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B08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4B7F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1031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24EA4C2B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A5BA8" w14:textId="270CD482" w:rsidR="006C1440" w:rsidRPr="006C1440" w:rsidRDefault="006C1440" w:rsidP="006C14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AGOSTO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031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115E2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5896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853E1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AAB92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D5EE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FF44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CA3E2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F1E2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4C30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50B43AD0" w14:textId="77777777" w:rsidTr="00EB4D58">
        <w:trPr>
          <w:trHeight w:val="340"/>
        </w:trPr>
        <w:tc>
          <w:tcPr>
            <w:tcW w:w="8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CDA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SEPTIEMBRE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980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1C23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2B3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38F9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675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9DD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E0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DD5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39B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EF7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F8C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AB24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No hubo convocatoria</w:t>
            </w:r>
          </w:p>
        </w:tc>
      </w:tr>
      <w:tr w:rsidR="00EB4D58" w:rsidRPr="006C1440" w14:paraId="5BE71EDA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11EA2" w14:textId="62CE2810" w:rsidR="006C1440" w:rsidRPr="006C1440" w:rsidRDefault="006C1440" w:rsidP="006C14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 </w:t>
            </w: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SEPTIEMBRE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40FF9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9724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12F3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DE1F2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11CFF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64026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D3B2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32C2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126821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19327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6C1440" w14:paraId="05BE7E0F" w14:textId="77777777" w:rsidTr="00EB4D58">
        <w:trPr>
          <w:trHeight w:val="340"/>
        </w:trPr>
        <w:tc>
          <w:tcPr>
            <w:tcW w:w="80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96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OCTUBRE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CCC9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2258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765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CDEE" w14:textId="77777777" w:rsidR="006C1440" w:rsidRPr="006C1440" w:rsidRDefault="006C1440" w:rsidP="006C1440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87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289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49B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3DB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34FB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594C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A9D3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F1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No hubo convocatoria</w:t>
            </w:r>
          </w:p>
        </w:tc>
      </w:tr>
      <w:tr w:rsidR="00EB4D58" w:rsidRPr="006C1440" w14:paraId="62339BE3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F6AF1B" w14:textId="76E9B103" w:rsidR="006C1440" w:rsidRPr="006C1440" w:rsidRDefault="006C1440" w:rsidP="006C144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lastRenderedPageBreak/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OCTUBRE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89EB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D885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C4D58A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0D7B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147DF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4F2A86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1F41E8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3011FD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ECCF0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78C53E" w14:textId="77777777" w:rsidR="006C1440" w:rsidRPr="006C1440" w:rsidRDefault="006C1440" w:rsidP="006C14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6C144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6FBCE72D" w14:textId="77777777" w:rsidTr="00EB4D58">
        <w:trPr>
          <w:trHeight w:val="340"/>
        </w:trPr>
        <w:tc>
          <w:tcPr>
            <w:tcW w:w="77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47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NOVIEMBRE</w:t>
            </w: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1D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CHIMALTENANGO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402F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EL TEJAR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F95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71E2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34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61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018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77D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8C7C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3E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42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784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4B9DE904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D89B5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8AF02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B9CB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60F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A65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CHIMALTECO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140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AB2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04F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ED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45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E9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5BE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2F6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73F20BBE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1288E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D8ADB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C108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PATZICIA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491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E000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INTERAMERICANO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D2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391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E4D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1DB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C7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E4E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650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FDA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28D9E8D7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5F93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6572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E21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TECPAN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A5C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40E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ANY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8D3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78E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34C6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574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C2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E8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E006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FF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719EE041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65898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ACE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TOTONICAPÁN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63DA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TOTONICAPÁN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69A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F6A0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GASGO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3DB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99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DFD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A68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7E4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A7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6E4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43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47DDAF05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E1FFC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E08D8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41E1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CRISTOBAL TOTONICAPÁN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0E8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CC9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GAS METROPOLITANO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5A0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6D7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A38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83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51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B6C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CCF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610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541555CA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211E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E9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QUETZALTENANGO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F19F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 JUAN OSTUNCALCO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1BA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D07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DE CENTRO OCCIDENTE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CF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CD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A91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D1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4B8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98B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96E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DD2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4A4B391B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0A90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0A89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E38A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SALCAJA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00B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527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6D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F32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2007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E05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821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81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C5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0B3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14FE5F5D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AA6A3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78F48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B5B7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CANTEL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114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F544" w14:textId="2C8B4DDE" w:rsidR="00D76652" w:rsidRPr="00D76652" w:rsidRDefault="0032223F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MINIPLANTA</w:t>
            </w:r>
            <w:r w:rsidR="00D76652"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 xml:space="preserve"> SHALOM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D9B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1B2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2AB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67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3CC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EBE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F21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D2F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34B1307E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3744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2CA8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F3BD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50C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E30C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MIPGAS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38F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6F3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965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E0D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C83C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678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CB8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EA1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029419FD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32F5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B0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QUICHÉ</w:t>
            </w:r>
          </w:p>
        </w:tc>
        <w:tc>
          <w:tcPr>
            <w:tcW w:w="7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D6D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SANTA CRUZ DEL QUICHÉ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718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870A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GAS ZETA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E2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9B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6D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823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88D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9809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708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D98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2B8D1828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C1C0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69722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09630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656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6C5F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LATIN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62B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10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BC4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B39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47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EF1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17B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45D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C76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0DC8F595" w14:textId="77777777" w:rsidTr="00EB4D58">
        <w:trPr>
          <w:trHeight w:val="340"/>
        </w:trPr>
        <w:tc>
          <w:tcPr>
            <w:tcW w:w="77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46F7A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67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76F4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</w:p>
        </w:tc>
        <w:tc>
          <w:tcPr>
            <w:tcW w:w="7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7477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BC9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D202" w14:textId="77777777" w:rsidR="00D76652" w:rsidRPr="00D76652" w:rsidRDefault="00D76652" w:rsidP="00D76652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ALTO GAS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8D0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6E1F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BB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2CBC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16AA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707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474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DFB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7AC727C7" w14:textId="77777777" w:rsidTr="00EB4D58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2174A" w14:textId="487E5F20" w:rsidR="00D76652" w:rsidRPr="00D76652" w:rsidRDefault="00D76652" w:rsidP="00D766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 </w:t>
            </w: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NOVIEMBRE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C45AA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5D04B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A4A61D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856A5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4D9A9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F9C6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FA1DC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16696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97776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38C41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EB4D58" w:rsidRPr="00D76652" w14:paraId="5EE63BD2" w14:textId="77777777" w:rsidTr="00A26DEF">
        <w:trPr>
          <w:trHeight w:val="340"/>
        </w:trPr>
        <w:tc>
          <w:tcPr>
            <w:tcW w:w="2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54DE884" w14:textId="680AC36A" w:rsidR="00D76652" w:rsidRPr="00D76652" w:rsidRDefault="00D76652" w:rsidP="00D766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9B742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ENERO - NOVIEMBRE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8DDE718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90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3F7671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3A1832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0BF1D44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ED29125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F17114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FFC78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995AED3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E60C45E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15A43C1" w14:textId="77777777" w:rsidR="00D76652" w:rsidRPr="00D76652" w:rsidRDefault="00D76652" w:rsidP="00D766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D766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</w:tbl>
    <w:p w14:paraId="05755150" w14:textId="2F2CF88C" w:rsidR="003A4877" w:rsidRPr="00D76652" w:rsidRDefault="003A4877" w:rsidP="003A4877">
      <w:pPr>
        <w:jc w:val="both"/>
        <w:rPr>
          <w:rFonts w:ascii="Times New Roman" w:hAnsi="Times New Roman" w:cs="Times New Roman"/>
          <w:sz w:val="18"/>
          <w:szCs w:val="18"/>
        </w:rPr>
      </w:pPr>
      <w:r w:rsidRPr="00D76652">
        <w:rPr>
          <w:rFonts w:ascii="Times New Roman" w:hAnsi="Times New Roman" w:cs="Times New Roman"/>
          <w:sz w:val="18"/>
          <w:szCs w:val="18"/>
        </w:rPr>
        <w:t>Fuente: Departamento de Verificación y Vigilancia</w:t>
      </w:r>
    </w:p>
    <w:p w14:paraId="6D42B3E8" w14:textId="77777777" w:rsidR="008C402A" w:rsidRPr="00FA0403" w:rsidRDefault="008C402A" w:rsidP="00943E6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A75A84D" w14:textId="65824D0E" w:rsidR="00943E68" w:rsidRPr="00FA0403" w:rsidRDefault="00943E68" w:rsidP="004F4B95">
      <w:pPr>
        <w:pStyle w:val="Tablas"/>
      </w:pPr>
      <w:bookmarkStart w:id="34" w:name="_Toc216797445"/>
      <w:r w:rsidRPr="00FA0403">
        <w:t>Cuadro 1</w:t>
      </w:r>
      <w:r w:rsidR="007E5508" w:rsidRPr="00FA0403">
        <w:t>9</w:t>
      </w:r>
      <w:r w:rsidR="00B214C1">
        <w:t xml:space="preserve">: </w:t>
      </w:r>
      <w:r w:rsidRPr="00FA0403">
        <w:t>Verificaciones Plan Centinela</w:t>
      </w:r>
      <w:r w:rsidR="00D12194">
        <w:t>:</w:t>
      </w:r>
      <w:r w:rsidR="00B214C1">
        <w:t xml:space="preserve"> </w:t>
      </w:r>
      <w:r w:rsidRPr="00FA0403">
        <w:t xml:space="preserve"> Expendios de Gas Propano</w:t>
      </w:r>
      <w:r w:rsidR="00590048">
        <w:t>, noviembre 2025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174"/>
        <w:gridCol w:w="1261"/>
        <w:gridCol w:w="841"/>
        <w:gridCol w:w="1524"/>
        <w:gridCol w:w="841"/>
        <w:gridCol w:w="243"/>
        <w:gridCol w:w="343"/>
        <w:gridCol w:w="382"/>
        <w:gridCol w:w="381"/>
        <w:gridCol w:w="242"/>
        <w:gridCol w:w="290"/>
        <w:gridCol w:w="1081"/>
      </w:tblGrid>
      <w:tr w:rsidR="00894167" w:rsidRPr="00894167" w14:paraId="26A48914" w14:textId="77777777" w:rsidTr="00A26DEF">
        <w:trPr>
          <w:trHeight w:val="535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7FB37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MES</w:t>
            </w:r>
          </w:p>
        </w:tc>
        <w:tc>
          <w:tcPr>
            <w:tcW w:w="29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157EE0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EXPENDIOS DE GAS PROPANO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B1479E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CUMPLE PESO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8155621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EXHIBICIÓN DE PRECIOS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6596391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SIN LIBRO DE QUEJAS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F19AA3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OBSEVACIONES</w:t>
            </w:r>
          </w:p>
        </w:tc>
      </w:tr>
      <w:tr w:rsidR="00894167" w:rsidRPr="00894167" w14:paraId="317CBDDE" w14:textId="77777777" w:rsidTr="00A26DEF">
        <w:trPr>
          <w:trHeight w:val="373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12B9079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F521B0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DEPARTAMENTO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BE356FA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MUNICIPIO / ZONA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B8C653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No. DE 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EXPENDIOS VERIFICADOS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4142295" w14:textId="417CE8B0" w:rsidR="00894167" w:rsidRPr="00894167" w:rsidRDefault="00D12194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>NOMBRE DEL</w:t>
            </w:r>
            <w:r w:rsidR="00894167" w:rsidRPr="0089416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es-MX" w:eastAsia="es-MX"/>
              </w:rPr>
              <w:t xml:space="preserve"> EXPENDIO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37F971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CILINDOS VERIFICADOS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0D4ACA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9EFF482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583EC7A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13E89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3CE2ABD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SI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4A7E9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NO</w:t>
            </w: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FE7FA5D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MX" w:eastAsia="es-MX"/>
              </w:rPr>
            </w:pPr>
          </w:p>
        </w:tc>
      </w:tr>
      <w:tr w:rsidR="00894167" w:rsidRPr="00894167" w14:paraId="7791C178" w14:textId="77777777" w:rsidTr="00D76652">
        <w:trPr>
          <w:trHeight w:val="40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BFB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JULIO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E58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SANTA ROSA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7264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BARBERENA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33F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F85F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EXPENDIO EL CERINAL TROPIGAS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417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036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DDA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710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34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B7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66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002E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36F36572" w14:textId="77777777" w:rsidTr="00B214C1">
        <w:trPr>
          <w:trHeight w:val="231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813DA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  <w:t> 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E6465" w14:textId="5161B944" w:rsidR="00894167" w:rsidRPr="00894167" w:rsidRDefault="00894167" w:rsidP="008941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A26D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JULIO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BE3422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E2D41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EF6B1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EC516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FBECF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BE353E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0D54E1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7E0EE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ECBF2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B2F1CF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6FBB98DA" w14:textId="77777777" w:rsidTr="00D76652">
        <w:trPr>
          <w:trHeight w:val="44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98B0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s-MX" w:eastAsia="es-MX"/>
              </w:rPr>
              <w:t>AGOSTO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5C5A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95F3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06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5293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8781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6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8E2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78B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931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34F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5B0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179F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72B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MX" w:eastAsia="es-MX"/>
              </w:rPr>
              <w:t>No se realizaron verificaciones a expendios</w:t>
            </w:r>
          </w:p>
        </w:tc>
      </w:tr>
      <w:tr w:rsidR="00894167" w:rsidRPr="00894167" w14:paraId="3AD0B9EA" w14:textId="77777777" w:rsidTr="00B214C1">
        <w:trPr>
          <w:trHeight w:val="229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E3C35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  <w:t> 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94927" w14:textId="2D0D4191" w:rsidR="00894167" w:rsidRPr="00894167" w:rsidRDefault="00894167" w:rsidP="008941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A26D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AGOSTO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083CA0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AAFB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33D51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43DB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087E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FA440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12A6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943AB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9D1FAD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4F53C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3B0AE512" w14:textId="77777777" w:rsidTr="00C24471">
        <w:trPr>
          <w:trHeight w:val="4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2BE8" w14:textId="77777777" w:rsidR="00894167" w:rsidRPr="00894167" w:rsidRDefault="00894167" w:rsidP="00894167">
            <w:pPr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  <w:t>SEPTIEMBRE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4AE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5BBA" w14:textId="77777777" w:rsidR="00894167" w:rsidRPr="00894167" w:rsidRDefault="00894167" w:rsidP="00894167">
            <w:pPr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B35B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A28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3109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24AC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4CE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0960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6923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4592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D46B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9AC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No se realizaron verificaciones a expendios</w:t>
            </w:r>
          </w:p>
        </w:tc>
      </w:tr>
      <w:tr w:rsidR="00894167" w:rsidRPr="00894167" w14:paraId="2AF8C025" w14:textId="77777777" w:rsidTr="00B214C1">
        <w:trPr>
          <w:trHeight w:val="226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2B61D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  <w:t> 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13074" w14:textId="56BDEEA8" w:rsidR="00894167" w:rsidRPr="00894167" w:rsidRDefault="00894167" w:rsidP="008941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A26D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SEPTIEMBRE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CBBA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3752D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71571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2729E2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7E87B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2A1FD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13A40A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88EAE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9510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64599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s-MX" w:eastAsia="es-MX"/>
              </w:rPr>
              <w:t> </w:t>
            </w:r>
          </w:p>
        </w:tc>
      </w:tr>
      <w:tr w:rsidR="00894167" w:rsidRPr="00894167" w14:paraId="6E34A7A1" w14:textId="77777777" w:rsidTr="00C24471">
        <w:trPr>
          <w:trHeight w:val="594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22CF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  <w:t>OCTUBRE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3118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5403" w14:textId="77777777" w:rsidR="00894167" w:rsidRPr="00894167" w:rsidRDefault="00894167" w:rsidP="00894167">
            <w:pPr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DF50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34D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B8C0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672E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29D9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5761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ED25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42B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34A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042A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2"/>
                <w:szCs w:val="12"/>
                <w:lang w:val="es-MX" w:eastAsia="es-MX"/>
              </w:rPr>
              <w:t>Ya se cuenta con balanza para realizar verificaciones en noviembre.</w:t>
            </w:r>
          </w:p>
        </w:tc>
      </w:tr>
      <w:tr w:rsidR="00894167" w:rsidRPr="00894167" w14:paraId="2DA5EEDB" w14:textId="77777777" w:rsidTr="00B214C1">
        <w:trPr>
          <w:trHeight w:val="257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FCCA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0"/>
                <w:szCs w:val="10"/>
                <w:lang w:val="es-MX" w:eastAsia="es-MX"/>
              </w:rPr>
              <w:t> 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B754A" w14:textId="485D062D" w:rsidR="00894167" w:rsidRPr="00894167" w:rsidRDefault="00894167" w:rsidP="008941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A26D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OCTUBRE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F887F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470A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20AD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A6839D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141001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6B46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3BC8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4F445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ABB16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11740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1633F573" w14:textId="77777777" w:rsidTr="00C24471">
        <w:trPr>
          <w:trHeight w:val="338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2418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b/>
                <w:bCs/>
                <w:sz w:val="10"/>
                <w:szCs w:val="10"/>
                <w:lang w:val="es-MX" w:eastAsia="es-MX"/>
              </w:rPr>
              <w:t>NOVIEMBRE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9313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F805" w14:textId="77777777" w:rsidR="00894167" w:rsidRPr="00894167" w:rsidRDefault="00894167" w:rsidP="00894167">
            <w:pPr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9E4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642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3112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30C5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601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264B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F498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540C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0842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92C8" w14:textId="77777777" w:rsidR="00894167" w:rsidRPr="00894167" w:rsidRDefault="00894167" w:rsidP="00894167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4ED18CFC" w14:textId="77777777" w:rsidTr="00894167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BFABE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8"/>
                <w:szCs w:val="18"/>
                <w:lang w:val="es-MX" w:eastAsia="es-MX"/>
              </w:rPr>
              <w:t> 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F2D2D" w14:textId="55CBD9BB" w:rsidR="00894167" w:rsidRPr="00894167" w:rsidRDefault="00894167" w:rsidP="0089416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="00A26DE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DE</w:t>
            </w:r>
            <w:r w:rsidRPr="0089416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s-MX" w:eastAsia="es-MX"/>
              </w:rPr>
              <w:t xml:space="preserve"> NOVIEMBRE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5159A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FA915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6424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A1DF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CB46B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25A5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60A3E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7CCF20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22E247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FADF7" w14:textId="77777777" w:rsidR="00894167" w:rsidRPr="00894167" w:rsidRDefault="00894167" w:rsidP="008941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  <w:tr w:rsidR="00894167" w:rsidRPr="00894167" w14:paraId="092DB7DB" w14:textId="77777777" w:rsidTr="00A26DEF">
        <w:trPr>
          <w:trHeight w:val="288"/>
        </w:trPr>
        <w:tc>
          <w:tcPr>
            <w:tcW w:w="1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81A787C" w14:textId="4DF9DF56" w:rsidR="00894167" w:rsidRPr="00894167" w:rsidRDefault="00894167" w:rsidP="00894167">
            <w:pPr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</w:pPr>
            <w:proofErr w:type="gramStart"/>
            <w:r w:rsidRPr="00894167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  <w:t>TOTAL</w:t>
            </w:r>
            <w:proofErr w:type="gramEnd"/>
            <w:r w:rsidRPr="00894167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  <w:t xml:space="preserve"> </w:t>
            </w:r>
            <w:r w:rsidR="00A26DEF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  <w:t xml:space="preserve">DE </w:t>
            </w:r>
            <w:r w:rsidRPr="00894167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  <w:t>JULIO - NOVIEMBRE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A8D1E31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2CBFBEA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68C301A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B1E2519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E81E6C8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87F510F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7559473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2CDE1D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951CC50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217E15F" w14:textId="77777777" w:rsidR="00894167" w:rsidRPr="00894167" w:rsidRDefault="00894167" w:rsidP="0089416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</w:pPr>
            <w:r w:rsidRPr="00894167">
              <w:rPr>
                <w:rFonts w:ascii="Arial" w:eastAsia="Times New Roman" w:hAnsi="Arial" w:cs="Arial"/>
                <w:color w:val="000000"/>
                <w:sz w:val="14"/>
                <w:szCs w:val="14"/>
                <w:lang w:val="es-MX" w:eastAsia="es-MX"/>
              </w:rPr>
              <w:t> </w:t>
            </w:r>
          </w:p>
        </w:tc>
      </w:tr>
    </w:tbl>
    <w:p w14:paraId="031259F4" w14:textId="77777777" w:rsidR="00943E68" w:rsidRPr="00894167" w:rsidRDefault="00943E68" w:rsidP="00943E68">
      <w:pPr>
        <w:jc w:val="both"/>
        <w:rPr>
          <w:rFonts w:ascii="Times New Roman" w:hAnsi="Times New Roman" w:cs="Times New Roman"/>
          <w:sz w:val="18"/>
          <w:szCs w:val="18"/>
        </w:rPr>
      </w:pPr>
      <w:r w:rsidRPr="00894167">
        <w:rPr>
          <w:rFonts w:ascii="Times New Roman" w:hAnsi="Times New Roman" w:cs="Times New Roman"/>
          <w:sz w:val="18"/>
          <w:szCs w:val="18"/>
        </w:rPr>
        <w:lastRenderedPageBreak/>
        <w:t>Fuente: Departamento de Verificación y Vigilancia</w:t>
      </w:r>
    </w:p>
    <w:p w14:paraId="389CA258" w14:textId="0FB3D3FD" w:rsidR="00943E68" w:rsidRDefault="00943E68" w:rsidP="002B1F6F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0E9E441E" w14:textId="22649652" w:rsidR="002B1F6F" w:rsidRPr="0032223F" w:rsidRDefault="00A237B8" w:rsidP="0032223F">
      <w:pPr>
        <w:pStyle w:val="Ttulo1"/>
      </w:pPr>
      <w:bookmarkStart w:id="35" w:name="_Toc216788745"/>
      <w:r w:rsidRPr="0032223F">
        <w:t>Procedimiento Administrativo Sancionatorio</w:t>
      </w:r>
      <w:bookmarkEnd w:id="35"/>
    </w:p>
    <w:p w14:paraId="68A7FEF3" w14:textId="27DBB771" w:rsidR="002B1F6F" w:rsidRPr="00FA0403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EC9822" w14:textId="37800C46" w:rsidR="002B1F6F" w:rsidRDefault="002B1F6F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="00F277D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se </w:t>
      </w:r>
      <w:r w:rsidR="005D7780" w:rsidRPr="00FA0403">
        <w:rPr>
          <w:rFonts w:ascii="Times New Roman" w:hAnsi="Times New Roman" w:cs="Times New Roman"/>
          <w:sz w:val="22"/>
          <w:szCs w:val="22"/>
        </w:rPr>
        <w:t>impus</w:t>
      </w:r>
      <w:r w:rsidR="00CA3A52" w:rsidRPr="00FA0403">
        <w:rPr>
          <w:rFonts w:ascii="Times New Roman" w:hAnsi="Times New Roman" w:cs="Times New Roman"/>
          <w:sz w:val="22"/>
          <w:szCs w:val="22"/>
        </w:rPr>
        <w:t xml:space="preserve">ieron sanciones </w:t>
      </w:r>
      <w:r w:rsidRPr="00FA0403">
        <w:rPr>
          <w:rFonts w:ascii="Times New Roman" w:hAnsi="Times New Roman" w:cs="Times New Roman"/>
          <w:sz w:val="22"/>
          <w:szCs w:val="22"/>
        </w:rPr>
        <w:t xml:space="preserve">por </w:t>
      </w:r>
      <w:r w:rsidR="005D7780" w:rsidRPr="00FA0403">
        <w:rPr>
          <w:rFonts w:ascii="Times New Roman" w:hAnsi="Times New Roman" w:cs="Times New Roman"/>
          <w:sz w:val="22"/>
          <w:szCs w:val="22"/>
        </w:rPr>
        <w:t xml:space="preserve">parte del </w:t>
      </w:r>
      <w:r w:rsidRPr="00FA0403">
        <w:rPr>
          <w:rFonts w:ascii="Times New Roman" w:hAnsi="Times New Roman" w:cs="Times New Roman"/>
          <w:sz w:val="22"/>
          <w:szCs w:val="22"/>
        </w:rPr>
        <w:t xml:space="preserve">Departamento </w:t>
      </w:r>
      <w:r w:rsidR="00A23CFE" w:rsidRPr="00FA0403">
        <w:rPr>
          <w:rFonts w:ascii="Times New Roman" w:hAnsi="Times New Roman" w:cs="Times New Roman"/>
          <w:sz w:val="22"/>
          <w:szCs w:val="22"/>
        </w:rPr>
        <w:t>Legal</w:t>
      </w:r>
      <w:r w:rsidRPr="00FA0403">
        <w:rPr>
          <w:rFonts w:ascii="Times New Roman" w:hAnsi="Times New Roman" w:cs="Times New Roman"/>
          <w:sz w:val="22"/>
          <w:szCs w:val="22"/>
        </w:rPr>
        <w:t>, como se puede observar en el cuadro siguiente:</w:t>
      </w:r>
    </w:p>
    <w:p w14:paraId="4663BC7C" w14:textId="77777777" w:rsidR="00B214C1" w:rsidRPr="00FA0403" w:rsidRDefault="00B214C1" w:rsidP="002B1F6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92BF41C" w14:textId="70881C07" w:rsidR="002B1F6F" w:rsidRPr="00FA0403" w:rsidRDefault="002B1F6F" w:rsidP="004F4B95">
      <w:pPr>
        <w:pStyle w:val="Tablas"/>
      </w:pPr>
      <w:bookmarkStart w:id="36" w:name="_Toc216797446"/>
      <w:r w:rsidRPr="00FA0403">
        <w:t xml:space="preserve">Cuadro </w:t>
      </w:r>
      <w:r w:rsidR="007E5508" w:rsidRPr="00FA0403">
        <w:t>20</w:t>
      </w:r>
      <w:r w:rsidR="00B214C1">
        <w:t xml:space="preserve">: </w:t>
      </w:r>
      <w:r w:rsidRPr="00FA0403">
        <w:t>Sanciones Impuestas</w:t>
      </w:r>
      <w:r w:rsidR="00590048">
        <w:t>, noviembre 2025</w:t>
      </w:r>
      <w:bookmarkEnd w:id="36"/>
    </w:p>
    <w:tbl>
      <w:tblPr>
        <w:tblW w:w="49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8"/>
        <w:gridCol w:w="1379"/>
        <w:gridCol w:w="2004"/>
      </w:tblGrid>
      <w:tr w:rsidR="00B214C1" w:rsidRPr="00894167" w14:paraId="55877BA4" w14:textId="77777777" w:rsidTr="00A26DEF">
        <w:trPr>
          <w:trHeight w:val="340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9630D1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CONCEPTO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FA73DE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3BC1D1" w14:textId="6A5E3D63" w:rsidR="00894167" w:rsidRPr="00894167" w:rsidRDefault="0032223F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ACUMULADO ENERO</w:t>
            </w:r>
            <w:r w:rsidR="00894167"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-</w:t>
            </w:r>
            <w:r w:rsidR="0058525B" w:rsidRPr="00585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</w:tr>
      <w:tr w:rsidR="00894167" w:rsidRPr="00894167" w14:paraId="57C16EBE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213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INFRACCIONES A LA LEY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FE4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82C54E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894167" w:rsidRPr="00894167" w14:paraId="241AE9D6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69E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Multa, por acta de verificación (tenencia libro de quejas, gas, gasolina, publicidad engañosa, servicios públicos, exhibición de precios, etc.)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DBD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1CD82AC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13</w:t>
            </w:r>
          </w:p>
        </w:tc>
      </w:tr>
      <w:tr w:rsidR="00894167" w:rsidRPr="00894167" w14:paraId="000616D9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90E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Por quejas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DE6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104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6623133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564</w:t>
            </w:r>
          </w:p>
        </w:tc>
      </w:tr>
      <w:tr w:rsidR="00894167" w:rsidRPr="00894167" w14:paraId="7428CB2F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217B" w14:textId="77777777" w:rsidR="00894167" w:rsidRPr="00894167" w:rsidRDefault="00894167" w:rsidP="008941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Apercibimientos escritos/públicos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A5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FB093F4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21</w:t>
            </w:r>
          </w:p>
        </w:tc>
      </w:tr>
      <w:tr w:rsidR="00B214C1" w:rsidRPr="00894167" w14:paraId="0695F9E8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07B838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F3316C9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111</w:t>
            </w:r>
          </w:p>
        </w:tc>
        <w:tc>
          <w:tcPr>
            <w:tcW w:w="10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5FDD9B6" w14:textId="77777777" w:rsidR="00894167" w:rsidRPr="00894167" w:rsidRDefault="00894167" w:rsidP="008941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94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598</w:t>
            </w:r>
          </w:p>
        </w:tc>
      </w:tr>
    </w:tbl>
    <w:p w14:paraId="04CE9ECF" w14:textId="52DFBBA7" w:rsidR="004211A2" w:rsidRPr="00B214C1" w:rsidRDefault="004211A2" w:rsidP="00812842">
      <w:pPr>
        <w:rPr>
          <w:rFonts w:ascii="Times New Roman" w:hAnsi="Times New Roman" w:cs="Times New Roman"/>
          <w:b/>
          <w:sz w:val="18"/>
          <w:szCs w:val="18"/>
        </w:rPr>
      </w:pPr>
      <w:r w:rsidRPr="00B214C1">
        <w:rPr>
          <w:rFonts w:ascii="Times New Roman" w:hAnsi="Times New Roman" w:cs="Times New Roman"/>
          <w:sz w:val="18"/>
          <w:szCs w:val="18"/>
        </w:rPr>
        <w:t>Fuente: Departamento Legal</w:t>
      </w:r>
    </w:p>
    <w:p w14:paraId="354F3295" w14:textId="16CA409E" w:rsidR="001D517F" w:rsidRPr="00FA0403" w:rsidRDefault="00694E1D" w:rsidP="002B1F6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2B1F6F" w:rsidRPr="00FA0403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67A592B4" w14:textId="45F6EF47" w:rsidR="00D136E6" w:rsidRPr="00FA0403" w:rsidRDefault="00D136E6" w:rsidP="00D136E6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, </w:t>
      </w:r>
      <w:r w:rsidR="00D96DB5" w:rsidRPr="00FA0403">
        <w:rPr>
          <w:rFonts w:ascii="Times New Roman" w:hAnsi="Times New Roman" w:cs="Times New Roman"/>
          <w:sz w:val="22"/>
          <w:szCs w:val="22"/>
        </w:rPr>
        <w:t>el</w:t>
      </w:r>
      <w:r w:rsidRPr="00FA0403">
        <w:rPr>
          <w:rFonts w:ascii="Times New Roman" w:hAnsi="Times New Roman" w:cs="Times New Roman"/>
          <w:sz w:val="22"/>
          <w:szCs w:val="22"/>
        </w:rPr>
        <w:t xml:space="preserve"> Departamento Legal </w:t>
      </w:r>
      <w:r w:rsidR="00E34309" w:rsidRPr="00FA0403">
        <w:rPr>
          <w:rFonts w:ascii="Times New Roman" w:hAnsi="Times New Roman" w:cs="Times New Roman"/>
          <w:sz w:val="22"/>
          <w:szCs w:val="22"/>
        </w:rPr>
        <w:t>emitió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resoluciones de aprobación y registro de Contratos de Adhesión</w:t>
      </w:r>
      <w:r w:rsidR="00E34309" w:rsidRPr="00FA0403">
        <w:rPr>
          <w:rFonts w:ascii="Times New Roman" w:hAnsi="Times New Roman" w:cs="Times New Roman"/>
          <w:sz w:val="22"/>
          <w:szCs w:val="22"/>
        </w:rPr>
        <w:t xml:space="preserve">, en lo que se refiere al Departamento de Verificación </w:t>
      </w:r>
      <w:r w:rsidR="00D96DB5" w:rsidRPr="00FA0403">
        <w:rPr>
          <w:rFonts w:ascii="Times New Roman" w:hAnsi="Times New Roman" w:cs="Times New Roman"/>
          <w:sz w:val="22"/>
          <w:szCs w:val="22"/>
        </w:rPr>
        <w:t xml:space="preserve">y </w:t>
      </w:r>
      <w:r w:rsidR="006468C9" w:rsidRPr="00FA0403">
        <w:rPr>
          <w:rFonts w:ascii="Times New Roman" w:hAnsi="Times New Roman" w:cs="Times New Roman"/>
          <w:sz w:val="22"/>
          <w:szCs w:val="22"/>
        </w:rPr>
        <w:t xml:space="preserve">Vigilancia, </w:t>
      </w:r>
      <w:r w:rsidR="00D96DB5" w:rsidRPr="00FA0403">
        <w:rPr>
          <w:rFonts w:ascii="Times New Roman" w:hAnsi="Times New Roman" w:cs="Times New Roman"/>
          <w:sz w:val="22"/>
          <w:szCs w:val="22"/>
        </w:rPr>
        <w:t xml:space="preserve">emitió </w:t>
      </w:r>
      <w:r w:rsidRPr="00FA0403">
        <w:rPr>
          <w:rFonts w:ascii="Times New Roman" w:hAnsi="Times New Roman" w:cs="Times New Roman"/>
          <w:sz w:val="22"/>
          <w:szCs w:val="22"/>
        </w:rPr>
        <w:t>dictámenes técnicos de la verificación de los Certificados de Calibración de Instrumentos de Medición y Pesaje, como se puede observar en el cuadro siguiente:</w:t>
      </w:r>
    </w:p>
    <w:p w14:paraId="4C0221DF" w14:textId="55936E45" w:rsidR="00325EA0" w:rsidRDefault="00325EA0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3FA21E3" w14:textId="77777777" w:rsidR="004F4B95" w:rsidRPr="00FA0403" w:rsidRDefault="004F4B95" w:rsidP="00E4673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F6DEB6" w14:textId="2F9220D1" w:rsidR="002B1F6F" w:rsidRPr="001D6D92" w:rsidRDefault="002B1F6F" w:rsidP="001D6D92">
      <w:pPr>
        <w:pStyle w:val="Tablas"/>
      </w:pPr>
      <w:bookmarkStart w:id="37" w:name="_Toc216797447"/>
      <w:r w:rsidRPr="001D6D92">
        <w:t xml:space="preserve">Cuadro </w:t>
      </w:r>
      <w:r w:rsidR="00051523" w:rsidRPr="001D6D92">
        <w:t>2</w:t>
      </w:r>
      <w:r w:rsidR="007E5508" w:rsidRPr="001D6D92">
        <w:t>1</w:t>
      </w:r>
      <w:r w:rsidR="00330FDF" w:rsidRPr="001D6D92">
        <w:t xml:space="preserve">: </w:t>
      </w:r>
      <w:r w:rsidRPr="001D6D92">
        <w:t>Resoluciones de Aprobación</w:t>
      </w:r>
      <w:r w:rsidR="00A22F85" w:rsidRPr="001D6D92">
        <w:t xml:space="preserve"> de Contratos de Adhesión </w:t>
      </w:r>
      <w:r w:rsidR="001D517F" w:rsidRPr="001D6D92">
        <w:t>y</w:t>
      </w:r>
      <w:r w:rsidR="001D6D92" w:rsidRPr="001D6D92">
        <w:t xml:space="preserve"> </w:t>
      </w:r>
      <w:r w:rsidR="000D7386" w:rsidRPr="001D6D92">
        <w:t>Verificación de Certificados</w:t>
      </w:r>
      <w:r w:rsidR="001D517F" w:rsidRPr="001D6D92">
        <w:t xml:space="preserve"> </w:t>
      </w:r>
      <w:r w:rsidR="00812842" w:rsidRPr="001D6D92">
        <w:t>de</w:t>
      </w:r>
      <w:r w:rsidR="000D7386" w:rsidRPr="001D6D92">
        <w:t xml:space="preserve"> Calibración</w:t>
      </w:r>
      <w:r w:rsidR="00590048">
        <w:t>, noviembre 2025.</w:t>
      </w:r>
      <w:bookmarkEnd w:id="3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6"/>
        <w:gridCol w:w="1381"/>
        <w:gridCol w:w="2007"/>
      </w:tblGrid>
      <w:tr w:rsidR="00330FDF" w:rsidRPr="00330FDF" w14:paraId="475025EF" w14:textId="77777777" w:rsidTr="00A26DEF">
        <w:trPr>
          <w:trHeight w:val="340"/>
        </w:trPr>
        <w:tc>
          <w:tcPr>
            <w:tcW w:w="3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32C47F7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CONCEPTO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4D19517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7515C56" w14:textId="507B8D01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ACUMULADO              ENERO-</w:t>
            </w:r>
            <w:r w:rsidR="0058525B" w:rsidRPr="005852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s-MX" w:eastAsia="es-MX"/>
              </w:rPr>
              <w:t>NOVIEMBRE</w:t>
            </w:r>
          </w:p>
        </w:tc>
      </w:tr>
      <w:tr w:rsidR="00330FDF" w:rsidRPr="00330FDF" w14:paraId="2809F67F" w14:textId="77777777" w:rsidTr="0032223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21BB" w14:textId="77777777" w:rsidR="00330FDF" w:rsidRPr="00330FDF" w:rsidRDefault="00330FDF" w:rsidP="00330FD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Resoluciones de Aprobación de Contratos de Adhesión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EFF3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41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487F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421</w:t>
            </w:r>
          </w:p>
        </w:tc>
      </w:tr>
      <w:tr w:rsidR="00330FDF" w:rsidRPr="00330FDF" w14:paraId="4B6F4DDD" w14:textId="77777777" w:rsidTr="0032223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F1E" w14:textId="77777777" w:rsidR="00330FDF" w:rsidRPr="00330FDF" w:rsidRDefault="00330FDF" w:rsidP="00330FDF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Dictamen Técnico de la Verificación de certificados de Calibración de Instrumentos de Medición y Pesaje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898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48C4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657</w:t>
            </w:r>
          </w:p>
        </w:tc>
      </w:tr>
      <w:tr w:rsidR="00330FDF" w:rsidRPr="00330FDF" w14:paraId="08DAC578" w14:textId="77777777" w:rsidTr="00A26DEF">
        <w:trPr>
          <w:trHeight w:val="340"/>
        </w:trPr>
        <w:tc>
          <w:tcPr>
            <w:tcW w:w="3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80AECC8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TOTAL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62A71CD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193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55C8157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1,078</w:t>
            </w:r>
          </w:p>
        </w:tc>
      </w:tr>
    </w:tbl>
    <w:p w14:paraId="41D1EAF3" w14:textId="4753C01B" w:rsidR="005232ED" w:rsidRPr="00330FDF" w:rsidRDefault="004211A2" w:rsidP="00587D5E">
      <w:pPr>
        <w:jc w:val="both"/>
        <w:rPr>
          <w:rFonts w:ascii="Times New Roman" w:hAnsi="Times New Roman" w:cs="Times New Roman"/>
          <w:sz w:val="18"/>
          <w:szCs w:val="18"/>
        </w:rPr>
      </w:pPr>
      <w:r w:rsidRPr="00330FDF">
        <w:rPr>
          <w:rFonts w:ascii="Times New Roman" w:hAnsi="Times New Roman" w:cs="Times New Roman"/>
          <w:sz w:val="18"/>
          <w:szCs w:val="18"/>
        </w:rPr>
        <w:t>Fuente: Departamentos Legal y Verificación y Vigilancia</w:t>
      </w:r>
    </w:p>
    <w:p w14:paraId="5B33FAB9" w14:textId="74267215" w:rsidR="002121E9" w:rsidRPr="00FA0403" w:rsidRDefault="002121E9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1F37888" w14:textId="3FB3F92D" w:rsidR="002121E9" w:rsidRPr="00FA0403" w:rsidRDefault="002121E9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66B023F" w14:textId="2287B357" w:rsidR="006B0BE2" w:rsidRPr="00FA0403" w:rsidRDefault="006B0BE2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AF7D8E9" w14:textId="08DA35DE" w:rsidR="0087020E" w:rsidRPr="00FA0403" w:rsidRDefault="0087020E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6512E8F" w14:textId="63740488" w:rsidR="00325EA0" w:rsidRPr="00FA0403" w:rsidRDefault="00325EA0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4DEB46A" w14:textId="1EBC2CA3" w:rsidR="00325EA0" w:rsidRPr="00FA0403" w:rsidRDefault="00325EA0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0932DF" w14:textId="5FF15DB1" w:rsidR="00325EA0" w:rsidRPr="00FA0403" w:rsidRDefault="00325EA0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49A4307C" w14:textId="709925AC" w:rsidR="00A26DEF" w:rsidRDefault="00A26D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3E473B0F" w14:textId="77777777" w:rsidR="00325EA0" w:rsidRPr="00FA0403" w:rsidRDefault="00325EA0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BF9D366" w14:textId="6A2FD7E7" w:rsidR="00325EA0" w:rsidRPr="00FA0403" w:rsidRDefault="00325EA0" w:rsidP="0079538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3B2302" w14:textId="65990483" w:rsidR="002121E9" w:rsidRPr="00FA0403" w:rsidRDefault="000D7FED" w:rsidP="003A72A3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865EB8" wp14:editId="661DCAAA">
                <wp:simplePos x="0" y="0"/>
                <wp:positionH relativeFrom="column">
                  <wp:posOffset>-661</wp:posOffset>
                </wp:positionH>
                <wp:positionV relativeFrom="paragraph">
                  <wp:posOffset>-51</wp:posOffset>
                </wp:positionV>
                <wp:extent cx="5691225" cy="412750"/>
                <wp:effectExtent l="0" t="0" r="0" b="7620"/>
                <wp:wrapNone/>
                <wp:docPr id="73" name="Cuadro de text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12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241241" w14:textId="6010C02B" w:rsidR="003A72A3" w:rsidRPr="004F2262" w:rsidRDefault="003A72A3" w:rsidP="004F2262">
                            <w:pPr>
                              <w:shd w:val="clear" w:color="auto" w:fill="B4C6E7" w:themeFill="accent1" w:themeFillTint="6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Unidad de </w:t>
                            </w:r>
                            <w:r w:rsidR="006F50BA"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Protección de </w:t>
                            </w:r>
                            <w:r w:rsidRP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Servicios Financieros</w:t>
                            </w:r>
                            <w:r w:rsidR="004F226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-UPSF-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5EB8" id="_x0000_t202" coordsize="21600,21600" o:spt="202" path="m,l,21600r21600,l21600,xe">
                <v:stroke joinstyle="miter"/>
                <v:path gradientshapeok="t" o:connecttype="rect"/>
              </v:shapetype>
              <v:shape id="Cuadro de texto 73" o:spid="_x0000_s1026" type="#_x0000_t202" style="position:absolute;left:0;text-align:left;margin-left:-.05pt;margin-top:0;width:448.15pt;height:32.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" filled="f" stroked="f">
                <v:textbox style="mso-fit-shape-to-text:t">
                  <w:txbxContent>
                    <w:p w14:paraId="12241241" w14:textId="6010C02B" w:rsidR="003A72A3" w:rsidRPr="004F2262" w:rsidRDefault="003A72A3" w:rsidP="004F2262">
                      <w:pPr>
                        <w:shd w:val="clear" w:color="auto" w:fill="B4C6E7" w:themeFill="accent1" w:themeFillTint="66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Unidad de </w:t>
                      </w:r>
                      <w:r w:rsidR="006F50BA"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Protección de </w:t>
                      </w:r>
                      <w:r w:rsidRP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Servicios Financieros</w:t>
                      </w:r>
                      <w:r w:rsidR="004F226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-UPSF-   </w:t>
                      </w:r>
                    </w:p>
                  </w:txbxContent>
                </v:textbox>
              </v:shape>
            </w:pict>
          </mc:Fallback>
        </mc:AlternateContent>
      </w:r>
    </w:p>
    <w:p w14:paraId="28BD3277" w14:textId="48E0DA2A" w:rsidR="002121E9" w:rsidRPr="00FA0403" w:rsidRDefault="002121E9" w:rsidP="002A6DE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0C7809A4" w14:textId="346DBE7A" w:rsidR="002121E9" w:rsidRPr="007A39F0" w:rsidRDefault="002121E9" w:rsidP="007A39F0">
      <w:pPr>
        <w:pStyle w:val="Ttulo1"/>
      </w:pPr>
      <w:bookmarkStart w:id="38" w:name="_Toc216788746"/>
      <w:r w:rsidRPr="007A39F0">
        <w:t xml:space="preserve">Recepción de Quejas por Actividad Económica </w:t>
      </w:r>
      <w:r w:rsidR="007A39F0" w:rsidRPr="007A39F0">
        <w:t>-Unidad de Protección de Servicios Financieros -UPSF-</w:t>
      </w:r>
      <w:bookmarkEnd w:id="38"/>
    </w:p>
    <w:p w14:paraId="74168BAE" w14:textId="77777777" w:rsidR="002121E9" w:rsidRPr="00FA0403" w:rsidRDefault="002121E9" w:rsidP="00DE2788">
      <w:pPr>
        <w:rPr>
          <w:rFonts w:ascii="Times New Roman" w:hAnsi="Times New Roman" w:cs="Times New Roman"/>
          <w:sz w:val="22"/>
          <w:szCs w:val="22"/>
          <w:lang w:val="es-GT" w:eastAsia="es-MX"/>
        </w:rPr>
      </w:pPr>
    </w:p>
    <w:p w14:paraId="00CE3A7D" w14:textId="16D23D5D" w:rsidR="00443B2C" w:rsidRPr="00FA0403" w:rsidRDefault="00CF5456" w:rsidP="00443B2C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Durante el mes de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4A5D1C" w:rsidRPr="00FA0403">
        <w:rPr>
          <w:rFonts w:ascii="Times New Roman" w:hAnsi="Times New Roman" w:cs="Times New Roman"/>
          <w:sz w:val="22"/>
          <w:szCs w:val="22"/>
        </w:rPr>
        <w:t>3</w:t>
      </w:r>
      <w:r w:rsidR="008B1E40" w:rsidRPr="00FA0403">
        <w:rPr>
          <w:rFonts w:ascii="Times New Roman" w:hAnsi="Times New Roman" w:cs="Times New Roman"/>
          <w:sz w:val="22"/>
          <w:szCs w:val="22"/>
        </w:rPr>
        <w:t>22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quejas, en la Sede Central a través de </w:t>
      </w:r>
      <w:r w:rsidR="00D72B53" w:rsidRPr="00FA0403">
        <w:rPr>
          <w:rFonts w:ascii="Times New Roman" w:hAnsi="Times New Roman" w:cs="Times New Roman"/>
          <w:sz w:val="22"/>
          <w:szCs w:val="22"/>
        </w:rPr>
        <w:t>la</w:t>
      </w:r>
      <w:r w:rsidR="002121E9" w:rsidRPr="00FA0403">
        <w:rPr>
          <w:rFonts w:ascii="Times New Roman" w:hAnsi="Times New Roman" w:cs="Times New Roman"/>
          <w:sz w:val="22"/>
          <w:szCs w:val="22"/>
        </w:rPr>
        <w:t xml:space="preserve"> Unidad de Protección de Servicios Financieros, se recibieron </w:t>
      </w:r>
      <w:r w:rsidR="004A5D1C" w:rsidRPr="00FA0403">
        <w:rPr>
          <w:rFonts w:ascii="Times New Roman" w:hAnsi="Times New Roman" w:cs="Times New Roman"/>
          <w:sz w:val="22"/>
          <w:szCs w:val="22"/>
        </w:rPr>
        <w:t>3</w:t>
      </w:r>
      <w:r w:rsidR="002004C1" w:rsidRPr="00FA0403">
        <w:rPr>
          <w:rFonts w:ascii="Times New Roman" w:hAnsi="Times New Roman" w:cs="Times New Roman"/>
          <w:sz w:val="22"/>
          <w:szCs w:val="22"/>
        </w:rPr>
        <w:t>0</w:t>
      </w:r>
      <w:r w:rsidR="008B1E40" w:rsidRPr="00FA0403">
        <w:rPr>
          <w:rFonts w:ascii="Times New Roman" w:hAnsi="Times New Roman" w:cs="Times New Roman"/>
          <w:sz w:val="22"/>
          <w:szCs w:val="22"/>
        </w:rPr>
        <w:t>9</w:t>
      </w:r>
      <w:r w:rsidR="002121E9" w:rsidRPr="00FA0403">
        <w:rPr>
          <w:rFonts w:ascii="Times New Roman" w:hAnsi="Times New Roman" w:cs="Times New Roman"/>
          <w:sz w:val="22"/>
          <w:szCs w:val="22"/>
        </w:rPr>
        <w:t xml:space="preserve"> quejas</w:t>
      </w:r>
      <w:r w:rsidR="00B9222F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0D7386" w:rsidRPr="00FA0403">
        <w:rPr>
          <w:rFonts w:ascii="Times New Roman" w:hAnsi="Times New Roman" w:cs="Times New Roman"/>
          <w:sz w:val="22"/>
          <w:szCs w:val="22"/>
        </w:rPr>
        <w:t xml:space="preserve">y en </w:t>
      </w:r>
      <w:r w:rsidRPr="00FA0403">
        <w:rPr>
          <w:rFonts w:ascii="Times New Roman" w:hAnsi="Times New Roman" w:cs="Times New Roman"/>
          <w:sz w:val="22"/>
          <w:szCs w:val="22"/>
        </w:rPr>
        <w:t xml:space="preserve">las </w:t>
      </w:r>
      <w:r w:rsidR="000D7386" w:rsidRPr="00FA0403">
        <w:rPr>
          <w:rFonts w:ascii="Times New Roman" w:hAnsi="Times New Roman" w:cs="Times New Roman"/>
          <w:sz w:val="22"/>
          <w:szCs w:val="22"/>
        </w:rPr>
        <w:t xml:space="preserve">Sedes Departamentales </w:t>
      </w:r>
      <w:r w:rsidR="008B1E40" w:rsidRPr="00FA0403">
        <w:rPr>
          <w:rFonts w:ascii="Times New Roman" w:hAnsi="Times New Roman" w:cs="Times New Roman"/>
          <w:sz w:val="22"/>
          <w:szCs w:val="22"/>
        </w:rPr>
        <w:t>13</w:t>
      </w:r>
      <w:r w:rsidR="00D1648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>quejas</w:t>
      </w:r>
      <w:r w:rsidR="002121E9" w:rsidRPr="00FA0403">
        <w:rPr>
          <w:rFonts w:ascii="Times New Roman" w:hAnsi="Times New Roman" w:cs="Times New Roman"/>
          <w:sz w:val="22"/>
          <w:szCs w:val="22"/>
        </w:rPr>
        <w:t>, como se puede apreciar en el cuadro siguiente:</w:t>
      </w:r>
    </w:p>
    <w:p w14:paraId="49509EB4" w14:textId="77777777" w:rsidR="00443B2C" w:rsidRPr="00FA0403" w:rsidRDefault="00443B2C" w:rsidP="00443B2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C231D8" w14:textId="6E9BD333" w:rsidR="002121E9" w:rsidRPr="00FA0403" w:rsidRDefault="002121E9" w:rsidP="004F4B95">
      <w:pPr>
        <w:pStyle w:val="Tablas"/>
      </w:pPr>
      <w:bookmarkStart w:id="39" w:name="_Toc216797448"/>
      <w:r w:rsidRPr="00FA0403">
        <w:t xml:space="preserve">Cuadro </w:t>
      </w:r>
      <w:r w:rsidR="0058525B">
        <w:t xml:space="preserve">22: </w:t>
      </w:r>
      <w:r w:rsidRPr="00FA0403">
        <w:t>Recepción de Quejas</w:t>
      </w:r>
      <w:r w:rsidR="00590048">
        <w:t>, noviembre 2025</w:t>
      </w:r>
      <w:bookmarkEnd w:id="39"/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840"/>
        <w:gridCol w:w="1200"/>
        <w:gridCol w:w="2230"/>
        <w:gridCol w:w="1540"/>
      </w:tblGrid>
      <w:tr w:rsidR="00330FDF" w:rsidRPr="00330FDF" w14:paraId="2554C0F9" w14:textId="77777777" w:rsidTr="00A26DEF">
        <w:trPr>
          <w:trHeight w:val="3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D4E788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No.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4C32CEB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E9EE50C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C5E79C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35314E1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QUEJAS RECIBIDAS</w:t>
            </w:r>
          </w:p>
        </w:tc>
      </w:tr>
      <w:tr w:rsidR="00330FDF" w:rsidRPr="00330FDF" w14:paraId="49255807" w14:textId="77777777" w:rsidTr="0032223F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BE401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E6D927" w14:textId="77777777" w:rsidR="00330FDF" w:rsidRPr="00330FDF" w:rsidRDefault="00330FDF" w:rsidP="00330F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financieras y de seguros</w:t>
            </w:r>
          </w:p>
        </w:tc>
      </w:tr>
      <w:tr w:rsidR="00330FDF" w:rsidRPr="00330FDF" w14:paraId="16663699" w14:textId="77777777" w:rsidTr="0032223F">
        <w:trPr>
          <w:trHeight w:val="3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A7D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8.3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E00" w14:textId="77777777" w:rsidR="00330FDF" w:rsidRPr="00330FDF" w:rsidRDefault="00330FDF" w:rsidP="00330FD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F81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309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D8F8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B85" w14:textId="77777777" w:rsidR="00330FDF" w:rsidRPr="00330FDF" w:rsidRDefault="00330FDF" w:rsidP="00330F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330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322</w:t>
            </w:r>
          </w:p>
        </w:tc>
      </w:tr>
    </w:tbl>
    <w:p w14:paraId="69D6E528" w14:textId="73C549DD" w:rsidR="001F0A8E" w:rsidRPr="00BD61D3" w:rsidRDefault="002121E9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BD61D3">
        <w:rPr>
          <w:rFonts w:ascii="Times New Roman" w:hAnsi="Times New Roman" w:cs="Times New Roman"/>
          <w:sz w:val="18"/>
          <w:szCs w:val="18"/>
        </w:rPr>
        <w:t xml:space="preserve">Fuente: </w:t>
      </w:r>
      <w:r w:rsidR="00536C3F" w:rsidRPr="00BD61D3">
        <w:rPr>
          <w:rFonts w:ascii="Times New Roman" w:hAnsi="Times New Roman" w:cs="Times New Roman"/>
          <w:sz w:val="18"/>
          <w:szCs w:val="18"/>
        </w:rPr>
        <w:t>Departamento</w:t>
      </w:r>
      <w:r w:rsidR="001F0A8E" w:rsidRPr="00BD61D3">
        <w:rPr>
          <w:rFonts w:ascii="Times New Roman" w:hAnsi="Times New Roman" w:cs="Times New Roman"/>
          <w:sz w:val="18"/>
          <w:szCs w:val="18"/>
        </w:rPr>
        <w:t>s</w:t>
      </w:r>
      <w:r w:rsidR="00536C3F" w:rsidRPr="00BD61D3">
        <w:rPr>
          <w:rFonts w:ascii="Times New Roman" w:hAnsi="Times New Roman" w:cs="Times New Roman"/>
          <w:sz w:val="18"/>
          <w:szCs w:val="18"/>
        </w:rPr>
        <w:t xml:space="preserve"> de Verificación y Vigilancia (</w:t>
      </w:r>
      <w:r w:rsidR="00495E7D" w:rsidRPr="00BD61D3">
        <w:rPr>
          <w:rFonts w:ascii="Times New Roman" w:hAnsi="Times New Roman" w:cs="Times New Roman"/>
          <w:sz w:val="18"/>
          <w:szCs w:val="18"/>
        </w:rPr>
        <w:t>UPSF</w:t>
      </w:r>
      <w:r w:rsidR="00536C3F" w:rsidRPr="00BD61D3">
        <w:rPr>
          <w:rFonts w:ascii="Times New Roman" w:hAnsi="Times New Roman" w:cs="Times New Roman"/>
          <w:sz w:val="18"/>
          <w:szCs w:val="18"/>
        </w:rPr>
        <w:t>)</w:t>
      </w:r>
      <w:r w:rsidRPr="00BD61D3">
        <w:rPr>
          <w:rFonts w:ascii="Times New Roman" w:hAnsi="Times New Roman" w:cs="Times New Roman"/>
          <w:sz w:val="18"/>
          <w:szCs w:val="18"/>
        </w:rPr>
        <w:t xml:space="preserve"> </w:t>
      </w:r>
      <w:r w:rsidR="00536C3F" w:rsidRPr="00BD61D3">
        <w:rPr>
          <w:rFonts w:ascii="Times New Roman" w:hAnsi="Times New Roman" w:cs="Times New Roman"/>
          <w:sz w:val="18"/>
          <w:szCs w:val="18"/>
        </w:rPr>
        <w:t xml:space="preserve">y </w:t>
      </w:r>
      <w:r w:rsidR="001F0A8E" w:rsidRPr="00BD61D3">
        <w:rPr>
          <w:rFonts w:ascii="Times New Roman" w:hAnsi="Times New Roman" w:cs="Times New Roman"/>
          <w:sz w:val="18"/>
          <w:szCs w:val="18"/>
        </w:rPr>
        <w:t xml:space="preserve">Coordinación de Sedes </w:t>
      </w:r>
    </w:p>
    <w:p w14:paraId="6C0E0699" w14:textId="5227E493" w:rsidR="002121E9" w:rsidRPr="00FA0403" w:rsidRDefault="002121E9" w:rsidP="002121E9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64859B46" w14:textId="6081E3E9" w:rsidR="00146876" w:rsidRPr="00FA0403" w:rsidRDefault="00146876" w:rsidP="004F4B95">
      <w:pPr>
        <w:pStyle w:val="Tablas"/>
      </w:pPr>
      <w:bookmarkStart w:id="40" w:name="_Toc216797449"/>
      <w:r w:rsidRPr="00FA0403">
        <w:t>Cuadro 2</w:t>
      </w:r>
      <w:r w:rsidR="00E06966">
        <w:t>3</w:t>
      </w:r>
      <w:r w:rsidR="0058525B">
        <w:t xml:space="preserve">: </w:t>
      </w:r>
      <w:r w:rsidRPr="00FA0403">
        <w:t>Recepción de Quejas</w:t>
      </w:r>
      <w:r w:rsidR="0032223F">
        <w:t xml:space="preserve">, </w:t>
      </w:r>
      <w:r w:rsidR="00590048">
        <w:t>e</w:t>
      </w:r>
      <w:r w:rsidRPr="00FA0403">
        <w:t xml:space="preserve">nero – </w:t>
      </w:r>
      <w:r w:rsidR="00590048" w:rsidRPr="00FA0403">
        <w:t>noviembre</w:t>
      </w:r>
      <w:r w:rsidRPr="00FA0403">
        <w:t xml:space="preserve"> 2025</w:t>
      </w:r>
      <w:bookmarkEnd w:id="40"/>
    </w:p>
    <w:tbl>
      <w:tblPr>
        <w:tblW w:w="50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1162"/>
        <w:gridCol w:w="2030"/>
        <w:gridCol w:w="2231"/>
        <w:gridCol w:w="1418"/>
      </w:tblGrid>
      <w:tr w:rsidR="0032223F" w:rsidRPr="00BD61D3" w14:paraId="5E4BD3D4" w14:textId="77777777" w:rsidTr="00A26DEF">
        <w:trPr>
          <w:trHeight w:val="340"/>
        </w:trPr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90A7237" w14:textId="77777777" w:rsidR="0032223F" w:rsidRPr="00A26DEF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26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0CC765B" w14:textId="77777777" w:rsidR="0032223F" w:rsidRPr="00A26DEF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26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0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14:paraId="6DBD9C87" w14:textId="77777777" w:rsidR="0032223F" w:rsidRPr="00A26DEF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EE5663F" w14:textId="6492C5DD" w:rsidR="0032223F" w:rsidRPr="00A26DEF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A26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 xml:space="preserve">SEDES DEPARTAMENTALES 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9077AC" w14:textId="77777777" w:rsidR="0032223F" w:rsidRPr="00A26DEF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proofErr w:type="gramStart"/>
            <w:r w:rsidRPr="00A26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A26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 xml:space="preserve"> QUEJAS RECIBIDAS</w:t>
            </w:r>
          </w:p>
        </w:tc>
      </w:tr>
      <w:tr w:rsidR="0032223F" w:rsidRPr="00BD61D3" w14:paraId="3C1ED233" w14:textId="77777777" w:rsidTr="0032223F">
        <w:trPr>
          <w:trHeight w:val="34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A5DC2" w14:textId="77777777" w:rsidR="0032223F" w:rsidRPr="00BD61D3" w:rsidRDefault="0032223F" w:rsidP="00BD61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Actividades financieras y de seguros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BAAFB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6DFEF8C1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B07F2" w14:textId="1E2AE0CE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8CA18F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MX"/>
              </w:rPr>
              <w:t> </w:t>
            </w:r>
          </w:p>
        </w:tc>
      </w:tr>
      <w:tr w:rsidR="0032223F" w:rsidRPr="00BD61D3" w14:paraId="49294444" w14:textId="77777777" w:rsidTr="0032223F">
        <w:trPr>
          <w:trHeight w:val="340"/>
        </w:trPr>
        <w:tc>
          <w:tcPr>
            <w:tcW w:w="1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D3E9" w14:textId="77777777" w:rsidR="0032223F" w:rsidRPr="00BD61D3" w:rsidRDefault="0032223F" w:rsidP="00BD61D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MX" w:eastAsia="es-MX"/>
              </w:rPr>
              <w:t>Tarjetas de crédito</w:t>
            </w:r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3BE8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2,800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D7048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7D8" w14:textId="6999ED9C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D4AA" w14:textId="77777777" w:rsidR="0032223F" w:rsidRPr="00BD61D3" w:rsidRDefault="0032223F" w:rsidP="00BD6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BD6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2,952</w:t>
            </w:r>
          </w:p>
        </w:tc>
      </w:tr>
    </w:tbl>
    <w:p w14:paraId="494755EF" w14:textId="641F9905" w:rsidR="001F0A8E" w:rsidRPr="00BD61D3" w:rsidRDefault="001F0A8E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BD61D3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BD61D3">
        <w:rPr>
          <w:rFonts w:ascii="Times New Roman" w:hAnsi="Times New Roman" w:cs="Times New Roman"/>
          <w:sz w:val="18"/>
          <w:szCs w:val="18"/>
        </w:rPr>
        <w:t>UPSF</w:t>
      </w:r>
      <w:r w:rsidRPr="00BD61D3">
        <w:rPr>
          <w:rFonts w:ascii="Times New Roman" w:hAnsi="Times New Roman" w:cs="Times New Roman"/>
          <w:sz w:val="18"/>
          <w:szCs w:val="18"/>
        </w:rPr>
        <w:t xml:space="preserve">) y Coordinación de Sedes </w:t>
      </w:r>
    </w:p>
    <w:p w14:paraId="57F0B088" w14:textId="7F8FB3ED" w:rsidR="00146876" w:rsidRPr="00FA0403" w:rsidRDefault="00146876" w:rsidP="00146876">
      <w:pPr>
        <w:rPr>
          <w:rFonts w:ascii="Times New Roman" w:hAnsi="Times New Roman" w:cs="Times New Roman"/>
          <w:sz w:val="22"/>
          <w:szCs w:val="22"/>
        </w:rPr>
      </w:pPr>
    </w:p>
    <w:p w14:paraId="3FEED6EA" w14:textId="46C72267" w:rsidR="002121E9" w:rsidRPr="00FA0403" w:rsidRDefault="002121E9" w:rsidP="004F4B95">
      <w:pPr>
        <w:pStyle w:val="Ttulo1"/>
        <w:rPr>
          <w:rFonts w:eastAsiaTheme="minorHAnsi"/>
        </w:rPr>
      </w:pPr>
      <w:bookmarkStart w:id="41" w:name="_Toc216788747"/>
      <w:r w:rsidRPr="00FA0403">
        <w:rPr>
          <w:rFonts w:eastAsiaTheme="minorHAnsi"/>
        </w:rPr>
        <w:t xml:space="preserve">Captación de Quejas </w:t>
      </w:r>
      <w:r w:rsidR="007A39F0">
        <w:rPr>
          <w:rFonts w:eastAsiaTheme="minorHAnsi"/>
        </w:rPr>
        <w:t>-UPSF-</w:t>
      </w:r>
      <w:bookmarkEnd w:id="41"/>
    </w:p>
    <w:p w14:paraId="48B79DE8" w14:textId="77777777" w:rsidR="002121E9" w:rsidRPr="00FA0403" w:rsidRDefault="002121E9" w:rsidP="002121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31B163" w14:textId="3E0C7F4E" w:rsidR="002121E9" w:rsidRPr="00FA0403" w:rsidRDefault="002121E9" w:rsidP="002121E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Durante el mes de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recibieron </w:t>
      </w:r>
      <w:r w:rsidR="004A5D1C" w:rsidRPr="00FA0403">
        <w:rPr>
          <w:rFonts w:ascii="Times New Roman" w:hAnsi="Times New Roman" w:cs="Times New Roman"/>
          <w:sz w:val="22"/>
          <w:szCs w:val="22"/>
        </w:rPr>
        <w:t>3</w:t>
      </w:r>
      <w:r w:rsidR="008B1E40" w:rsidRPr="00FA0403">
        <w:rPr>
          <w:rFonts w:ascii="Times New Roman" w:hAnsi="Times New Roman" w:cs="Times New Roman"/>
          <w:sz w:val="22"/>
          <w:szCs w:val="22"/>
        </w:rPr>
        <w:t>22</w:t>
      </w:r>
      <w:r w:rsidR="00443B2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presentadas por los </w:t>
      </w:r>
      <w:r w:rsidR="00A27455" w:rsidRPr="00FA0403">
        <w:rPr>
          <w:rFonts w:ascii="Times New Roman" w:hAnsi="Times New Roman" w:cs="Times New Roman"/>
          <w:sz w:val="22"/>
          <w:szCs w:val="22"/>
        </w:rPr>
        <w:t>tarjetahabientes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, por los tres medios de captación de quejas que dispone la DIACO, de las cuales, en 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la </w:t>
      </w:r>
      <w:r w:rsidRPr="00FA0403">
        <w:rPr>
          <w:rFonts w:ascii="Times New Roman" w:hAnsi="Times New Roman" w:cs="Times New Roman"/>
          <w:sz w:val="22"/>
          <w:szCs w:val="22"/>
        </w:rPr>
        <w:t>Sede Central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 a través de la Unidad de Protección de Servicios Financieros</w:t>
      </w:r>
      <w:r w:rsidRPr="00FA0403">
        <w:rPr>
          <w:rFonts w:ascii="Times New Roman" w:hAnsi="Times New Roman" w:cs="Times New Roman"/>
          <w:sz w:val="22"/>
          <w:szCs w:val="22"/>
        </w:rPr>
        <w:t xml:space="preserve">, se recibieron </w:t>
      </w:r>
      <w:r w:rsidR="004A5D1C" w:rsidRPr="00FA0403">
        <w:rPr>
          <w:rFonts w:ascii="Times New Roman" w:hAnsi="Times New Roman" w:cs="Times New Roman"/>
          <w:sz w:val="22"/>
          <w:szCs w:val="22"/>
        </w:rPr>
        <w:t>3</w:t>
      </w:r>
      <w:r w:rsidR="002004C1" w:rsidRPr="00FA0403">
        <w:rPr>
          <w:rFonts w:ascii="Times New Roman" w:hAnsi="Times New Roman" w:cs="Times New Roman"/>
          <w:sz w:val="22"/>
          <w:szCs w:val="22"/>
        </w:rPr>
        <w:t>0</w:t>
      </w:r>
      <w:r w:rsidR="008B1E40" w:rsidRPr="00FA0403">
        <w:rPr>
          <w:rFonts w:ascii="Times New Roman" w:hAnsi="Times New Roman" w:cs="Times New Roman"/>
          <w:sz w:val="22"/>
          <w:szCs w:val="22"/>
        </w:rPr>
        <w:t>9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</w:t>
      </w:r>
      <w:r w:rsidR="00B9222F" w:rsidRPr="00FA0403">
        <w:rPr>
          <w:rFonts w:ascii="Times New Roman" w:hAnsi="Times New Roman" w:cs="Times New Roman"/>
          <w:sz w:val="22"/>
          <w:szCs w:val="22"/>
        </w:rPr>
        <w:t xml:space="preserve"> en la Sede Central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</w:t>
      </w:r>
      <w:r w:rsidR="008B1E40" w:rsidRPr="00FA0403">
        <w:rPr>
          <w:rFonts w:ascii="Times New Roman" w:hAnsi="Times New Roman" w:cs="Times New Roman"/>
          <w:sz w:val="22"/>
          <w:szCs w:val="22"/>
        </w:rPr>
        <w:t>13</w:t>
      </w:r>
      <w:r w:rsidR="004A5D1C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E46736" w:rsidRPr="00FA0403">
        <w:rPr>
          <w:rFonts w:ascii="Times New Roman" w:hAnsi="Times New Roman" w:cs="Times New Roman"/>
          <w:sz w:val="22"/>
          <w:szCs w:val="22"/>
        </w:rPr>
        <w:t xml:space="preserve">quejas </w:t>
      </w: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las </w:t>
      </w:r>
      <w:r w:rsidRPr="00FA0403">
        <w:rPr>
          <w:rFonts w:ascii="Times New Roman" w:hAnsi="Times New Roman" w:cs="Times New Roman"/>
          <w:sz w:val="22"/>
          <w:szCs w:val="22"/>
        </w:rPr>
        <w:t>Sedes Departamentales, según se detalla en el cuadro siguiente:</w:t>
      </w:r>
    </w:p>
    <w:p w14:paraId="4336DB9F" w14:textId="77777777" w:rsidR="00EE3DB1" w:rsidRPr="00FA0403" w:rsidRDefault="00EE3DB1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19A2FB" w14:textId="6A9F2528" w:rsidR="002121E9" w:rsidRPr="00FA0403" w:rsidRDefault="002121E9" w:rsidP="004F4B95">
      <w:pPr>
        <w:pStyle w:val="Tablas"/>
      </w:pPr>
      <w:bookmarkStart w:id="42" w:name="_Toc216797450"/>
      <w:r w:rsidRPr="00FA0403">
        <w:t xml:space="preserve">Cuadro </w:t>
      </w:r>
      <w:r w:rsidR="00E06966">
        <w:t xml:space="preserve">24: </w:t>
      </w:r>
      <w:r w:rsidRPr="00FA0403">
        <w:t>Captación de Quejas</w:t>
      </w:r>
      <w:r w:rsidR="00590048">
        <w:t>, noviembre 2025</w:t>
      </w:r>
      <w:bookmarkEnd w:id="4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1708"/>
        <w:gridCol w:w="3391"/>
        <w:gridCol w:w="1533"/>
      </w:tblGrid>
      <w:tr w:rsidR="0032223F" w:rsidRPr="001C38A1" w14:paraId="426AB33D" w14:textId="77777777" w:rsidTr="00A26DEF">
        <w:trPr>
          <w:trHeight w:val="34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D02BDE1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D3B4DC1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722F054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32223F" w:rsidRPr="001C38A1" w14:paraId="055919AD" w14:textId="77777777" w:rsidTr="00A26DEF">
        <w:trPr>
          <w:trHeight w:val="340"/>
        </w:trPr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425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C24DFC6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8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DA9687A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6FB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32223F" w:rsidRPr="001C38A1" w14:paraId="04261D75" w14:textId="77777777" w:rsidTr="00A26DEF">
        <w:trPr>
          <w:trHeight w:val="340"/>
        </w:trPr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C80E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19A27E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8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7B9AB5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F0EA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32223F" w:rsidRPr="001C38A1" w14:paraId="1A73548F" w14:textId="77777777" w:rsidTr="00A26DEF">
        <w:trPr>
          <w:trHeight w:val="34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3F7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88FD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70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3F16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E8D522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70</w:t>
            </w:r>
          </w:p>
        </w:tc>
      </w:tr>
      <w:tr w:rsidR="0032223F" w:rsidRPr="001C38A1" w14:paraId="6EB6A9E1" w14:textId="77777777" w:rsidTr="00A26DEF">
        <w:trPr>
          <w:trHeight w:val="34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3DA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BAFD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93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38C1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7D0A78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93</w:t>
            </w:r>
          </w:p>
        </w:tc>
      </w:tr>
      <w:tr w:rsidR="0032223F" w:rsidRPr="001C38A1" w14:paraId="32C767A5" w14:textId="77777777" w:rsidTr="00A26DEF">
        <w:trPr>
          <w:trHeight w:val="34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FCA5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32F6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146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EC4C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14ECC9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159</w:t>
            </w:r>
          </w:p>
        </w:tc>
      </w:tr>
      <w:tr w:rsidR="0032223F" w:rsidRPr="001C38A1" w14:paraId="05A263CF" w14:textId="77777777" w:rsidTr="00A26DEF">
        <w:trPr>
          <w:trHeight w:val="34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6E00095" w14:textId="77777777" w:rsidR="0032223F" w:rsidRPr="001C38A1" w:rsidRDefault="0032223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A830D39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309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09F2D49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598FA73" w14:textId="77777777" w:rsidR="0032223F" w:rsidRPr="001C38A1" w:rsidRDefault="0032223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322</w:t>
            </w:r>
          </w:p>
        </w:tc>
      </w:tr>
    </w:tbl>
    <w:p w14:paraId="2D4136B8" w14:textId="7544296E" w:rsidR="001F0A8E" w:rsidRPr="001C38A1" w:rsidRDefault="001F0A8E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1C38A1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1C38A1">
        <w:rPr>
          <w:rFonts w:ascii="Times New Roman" w:hAnsi="Times New Roman" w:cs="Times New Roman"/>
          <w:sz w:val="18"/>
          <w:szCs w:val="18"/>
        </w:rPr>
        <w:t>UPSF</w:t>
      </w:r>
      <w:r w:rsidRPr="001C38A1">
        <w:rPr>
          <w:rFonts w:ascii="Times New Roman" w:hAnsi="Times New Roman" w:cs="Times New Roman"/>
          <w:sz w:val="18"/>
          <w:szCs w:val="18"/>
        </w:rPr>
        <w:t xml:space="preserve">) y Coordinación de Sedes </w:t>
      </w:r>
    </w:p>
    <w:p w14:paraId="218E7990" w14:textId="55CA8466" w:rsidR="002121E9" w:rsidRPr="00FA0403" w:rsidRDefault="002121E9" w:rsidP="002121E9">
      <w:pPr>
        <w:rPr>
          <w:rFonts w:ascii="Times New Roman" w:hAnsi="Times New Roman" w:cs="Times New Roman"/>
          <w:b/>
          <w:sz w:val="22"/>
          <w:szCs w:val="22"/>
          <w:shd w:val="clear" w:color="auto" w:fill="E0E0E0"/>
        </w:rPr>
      </w:pPr>
    </w:p>
    <w:p w14:paraId="52A83894" w14:textId="77777777" w:rsidR="001C38A1" w:rsidRDefault="001C38A1" w:rsidP="001468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E3ABE35" w14:textId="77777777" w:rsidR="00795387" w:rsidRDefault="00795387" w:rsidP="001468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3BA6A1" w14:textId="3E798E00" w:rsidR="00146876" w:rsidRPr="00FA0403" w:rsidRDefault="00146876" w:rsidP="00146876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>En lo que va del año, se han recibido por los tres medios de captación que dispone la DIACO</w:t>
      </w:r>
      <w:r w:rsidR="00A27455" w:rsidRPr="00FA0403">
        <w:rPr>
          <w:rFonts w:ascii="Times New Roman" w:hAnsi="Times New Roman" w:cs="Times New Roman"/>
          <w:sz w:val="22"/>
          <w:szCs w:val="22"/>
        </w:rPr>
        <w:t>,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A5296E" w:rsidRPr="00FA0403">
        <w:rPr>
          <w:rFonts w:ascii="Times New Roman" w:hAnsi="Times New Roman" w:cs="Times New Roman"/>
          <w:sz w:val="22"/>
          <w:szCs w:val="22"/>
        </w:rPr>
        <w:t>2,</w:t>
      </w:r>
      <w:r w:rsidR="008B1E40" w:rsidRPr="00FA0403">
        <w:rPr>
          <w:rFonts w:ascii="Times New Roman" w:hAnsi="Times New Roman" w:cs="Times New Roman"/>
          <w:sz w:val="22"/>
          <w:szCs w:val="22"/>
        </w:rPr>
        <w:t>952</w:t>
      </w:r>
      <w:r w:rsidR="002004C1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quejas; </w:t>
      </w:r>
      <w:r w:rsidR="00D12194" w:rsidRPr="00FA0403">
        <w:rPr>
          <w:rFonts w:ascii="Times New Roman" w:hAnsi="Times New Roman" w:cs="Times New Roman"/>
          <w:sz w:val="22"/>
          <w:szCs w:val="22"/>
        </w:rPr>
        <w:t>2,800 quejas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 a través de la Unidad de Protección de Servicios Financieros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</w:t>
      </w:r>
      <w:r w:rsidR="004A5D1C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52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 quejas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las Sedes Departamentales, como se detalla a continuación:</w:t>
      </w:r>
    </w:p>
    <w:p w14:paraId="0AB8AB75" w14:textId="77777777" w:rsidR="007F6A94" w:rsidRPr="00FA0403" w:rsidRDefault="007F6A94" w:rsidP="0014687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105806" w14:textId="5F447BE0" w:rsidR="00146876" w:rsidRPr="00FA0403" w:rsidRDefault="00146876" w:rsidP="004F4B95">
      <w:pPr>
        <w:pStyle w:val="Tablas"/>
      </w:pPr>
      <w:bookmarkStart w:id="43" w:name="_Toc216797451"/>
      <w:r w:rsidRPr="00FA0403">
        <w:t xml:space="preserve">Cuadro </w:t>
      </w:r>
      <w:r w:rsidR="00E06966">
        <w:t>25</w:t>
      </w:r>
      <w:r w:rsidR="001C38A1">
        <w:t xml:space="preserve">: </w:t>
      </w:r>
      <w:r w:rsidRPr="00FA0403">
        <w:t>Captación de Quejas</w:t>
      </w:r>
      <w:r w:rsidR="00590048">
        <w:t>, e</w:t>
      </w:r>
      <w:r w:rsidRPr="00FA0403">
        <w:t xml:space="preserve">nero – </w:t>
      </w:r>
      <w:r w:rsidR="00590048" w:rsidRPr="00FA0403">
        <w:t>noviembre</w:t>
      </w:r>
      <w:r w:rsidRPr="00FA0403">
        <w:t xml:space="preserve"> 2025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7"/>
        <w:gridCol w:w="2307"/>
        <w:gridCol w:w="2882"/>
        <w:gridCol w:w="1608"/>
      </w:tblGrid>
      <w:tr w:rsidR="00A26DEF" w:rsidRPr="001C38A1" w14:paraId="2722F09A" w14:textId="77777777" w:rsidTr="00A26DEF">
        <w:trPr>
          <w:trHeight w:val="340"/>
        </w:trPr>
        <w:tc>
          <w:tcPr>
            <w:tcW w:w="1382" w:type="pct"/>
            <w:vMerge w:val="restart"/>
            <w:shd w:val="clear" w:color="auto" w:fill="8EAADB" w:themeFill="accent1" w:themeFillTint="99"/>
            <w:vAlign w:val="center"/>
            <w:hideMark/>
          </w:tcPr>
          <w:p w14:paraId="72612370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MEDIOS DE CAPTACIÓN</w:t>
            </w:r>
          </w:p>
        </w:tc>
        <w:tc>
          <w:tcPr>
            <w:tcW w:w="2762" w:type="pct"/>
            <w:gridSpan w:val="2"/>
            <w:shd w:val="clear" w:color="auto" w:fill="8EAADB" w:themeFill="accent1" w:themeFillTint="99"/>
            <w:vAlign w:val="center"/>
            <w:hideMark/>
          </w:tcPr>
          <w:p w14:paraId="13997926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CANTIDAD DE QUEJAS RECIBIDAS</w:t>
            </w:r>
          </w:p>
        </w:tc>
        <w:tc>
          <w:tcPr>
            <w:tcW w:w="856" w:type="pct"/>
            <w:vMerge w:val="restart"/>
            <w:shd w:val="clear" w:color="auto" w:fill="8EAADB" w:themeFill="accent1" w:themeFillTint="99"/>
            <w:noWrap/>
            <w:vAlign w:val="center"/>
            <w:hideMark/>
          </w:tcPr>
          <w:p w14:paraId="01C96B38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26DEF" w:rsidRPr="001C38A1" w14:paraId="5987A2BB" w14:textId="77777777" w:rsidTr="00A26DEF">
        <w:trPr>
          <w:trHeight w:val="340"/>
        </w:trPr>
        <w:tc>
          <w:tcPr>
            <w:tcW w:w="1382" w:type="pct"/>
            <w:vMerge/>
            <w:vAlign w:val="center"/>
            <w:hideMark/>
          </w:tcPr>
          <w:p w14:paraId="027512B4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228" w:type="pct"/>
            <w:vMerge w:val="restart"/>
            <w:shd w:val="clear" w:color="auto" w:fill="8EAADB" w:themeFill="accent1" w:themeFillTint="99"/>
            <w:vAlign w:val="center"/>
            <w:hideMark/>
          </w:tcPr>
          <w:p w14:paraId="605B23D5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534" w:type="pct"/>
            <w:vMerge w:val="restart"/>
            <w:shd w:val="clear" w:color="auto" w:fill="8EAADB" w:themeFill="accent1" w:themeFillTint="99"/>
            <w:vAlign w:val="center"/>
            <w:hideMark/>
          </w:tcPr>
          <w:p w14:paraId="237A952C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856" w:type="pct"/>
            <w:vMerge/>
            <w:vAlign w:val="center"/>
            <w:hideMark/>
          </w:tcPr>
          <w:p w14:paraId="30B98DF4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26DEF" w:rsidRPr="001C38A1" w14:paraId="43004D95" w14:textId="77777777" w:rsidTr="00A26DEF">
        <w:trPr>
          <w:trHeight w:val="340"/>
        </w:trPr>
        <w:tc>
          <w:tcPr>
            <w:tcW w:w="1382" w:type="pct"/>
            <w:vMerge/>
            <w:vAlign w:val="center"/>
            <w:hideMark/>
          </w:tcPr>
          <w:p w14:paraId="437AB8A6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228" w:type="pct"/>
            <w:vMerge/>
            <w:shd w:val="clear" w:color="auto" w:fill="8EAADB" w:themeFill="accent1" w:themeFillTint="99"/>
            <w:vAlign w:val="center"/>
            <w:hideMark/>
          </w:tcPr>
          <w:p w14:paraId="560A948A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534" w:type="pct"/>
            <w:vMerge/>
            <w:shd w:val="clear" w:color="auto" w:fill="8EAADB" w:themeFill="accent1" w:themeFillTint="99"/>
            <w:vAlign w:val="center"/>
            <w:hideMark/>
          </w:tcPr>
          <w:p w14:paraId="6EF162F9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14:paraId="3D6ED96D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26DEF" w:rsidRPr="001C38A1" w14:paraId="0F04326E" w14:textId="77777777" w:rsidTr="00A26DEF">
        <w:trPr>
          <w:trHeight w:val="340"/>
        </w:trPr>
        <w:tc>
          <w:tcPr>
            <w:tcW w:w="1382" w:type="pct"/>
            <w:shd w:val="clear" w:color="auto" w:fill="auto"/>
            <w:noWrap/>
            <w:vAlign w:val="center"/>
            <w:hideMark/>
          </w:tcPr>
          <w:p w14:paraId="7DAD3427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Página Web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78B6B300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661</w:t>
            </w: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13FE0A81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56" w:type="pct"/>
            <w:shd w:val="clear" w:color="auto" w:fill="8EAADB" w:themeFill="accent1" w:themeFillTint="99"/>
            <w:noWrap/>
            <w:vAlign w:val="center"/>
            <w:hideMark/>
          </w:tcPr>
          <w:p w14:paraId="13E5A1F3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661</w:t>
            </w:r>
          </w:p>
        </w:tc>
      </w:tr>
      <w:tr w:rsidR="00A26DEF" w:rsidRPr="001C38A1" w14:paraId="087B7095" w14:textId="77777777" w:rsidTr="00A26DEF">
        <w:trPr>
          <w:trHeight w:val="340"/>
        </w:trPr>
        <w:tc>
          <w:tcPr>
            <w:tcW w:w="1382" w:type="pct"/>
            <w:shd w:val="clear" w:color="auto" w:fill="auto"/>
            <w:noWrap/>
            <w:vAlign w:val="center"/>
            <w:hideMark/>
          </w:tcPr>
          <w:p w14:paraId="2F0F70AA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proofErr w:type="spellStart"/>
            <w:proofErr w:type="gramStart"/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Call</w:t>
            </w:r>
            <w:proofErr w:type="spellEnd"/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 Center</w:t>
            </w:r>
            <w:proofErr w:type="gramEnd"/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7E620744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664</w:t>
            </w: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11BDAFEC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0</w:t>
            </w:r>
          </w:p>
        </w:tc>
        <w:tc>
          <w:tcPr>
            <w:tcW w:w="856" w:type="pct"/>
            <w:shd w:val="clear" w:color="auto" w:fill="8EAADB" w:themeFill="accent1" w:themeFillTint="99"/>
            <w:noWrap/>
            <w:vAlign w:val="center"/>
            <w:hideMark/>
          </w:tcPr>
          <w:p w14:paraId="351299B9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664</w:t>
            </w:r>
          </w:p>
        </w:tc>
      </w:tr>
      <w:tr w:rsidR="00A26DEF" w:rsidRPr="001C38A1" w14:paraId="07F6C9AE" w14:textId="77777777" w:rsidTr="00A26DEF">
        <w:trPr>
          <w:trHeight w:val="340"/>
        </w:trPr>
        <w:tc>
          <w:tcPr>
            <w:tcW w:w="1382" w:type="pct"/>
            <w:shd w:val="clear" w:color="auto" w:fill="auto"/>
            <w:noWrap/>
            <w:vAlign w:val="center"/>
            <w:hideMark/>
          </w:tcPr>
          <w:p w14:paraId="029AC446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Presencial</w:t>
            </w:r>
          </w:p>
        </w:tc>
        <w:tc>
          <w:tcPr>
            <w:tcW w:w="1228" w:type="pct"/>
            <w:shd w:val="clear" w:color="auto" w:fill="auto"/>
            <w:noWrap/>
            <w:vAlign w:val="center"/>
            <w:hideMark/>
          </w:tcPr>
          <w:p w14:paraId="06685121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1,475</w:t>
            </w:r>
          </w:p>
        </w:tc>
        <w:tc>
          <w:tcPr>
            <w:tcW w:w="1534" w:type="pct"/>
            <w:shd w:val="clear" w:color="auto" w:fill="auto"/>
            <w:noWrap/>
            <w:vAlign w:val="center"/>
            <w:hideMark/>
          </w:tcPr>
          <w:p w14:paraId="6AFD0C18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856" w:type="pct"/>
            <w:shd w:val="clear" w:color="auto" w:fill="8EAADB" w:themeFill="accent1" w:themeFillTint="99"/>
            <w:noWrap/>
            <w:vAlign w:val="center"/>
            <w:hideMark/>
          </w:tcPr>
          <w:p w14:paraId="08C5F2E4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1,627</w:t>
            </w:r>
          </w:p>
        </w:tc>
      </w:tr>
      <w:tr w:rsidR="00A26DEF" w:rsidRPr="001C38A1" w14:paraId="285E8CA8" w14:textId="77777777" w:rsidTr="00A26DEF">
        <w:trPr>
          <w:trHeight w:val="340"/>
        </w:trPr>
        <w:tc>
          <w:tcPr>
            <w:tcW w:w="1382" w:type="pct"/>
            <w:shd w:val="clear" w:color="auto" w:fill="8EAADB" w:themeFill="accent1" w:themeFillTint="99"/>
            <w:noWrap/>
            <w:vAlign w:val="center"/>
            <w:hideMark/>
          </w:tcPr>
          <w:p w14:paraId="21A3D0C9" w14:textId="77777777" w:rsidR="00A26DEF" w:rsidRPr="001C38A1" w:rsidRDefault="00A26DEF" w:rsidP="001C38A1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1228" w:type="pct"/>
            <w:shd w:val="clear" w:color="auto" w:fill="8EAADB" w:themeFill="accent1" w:themeFillTint="99"/>
            <w:noWrap/>
            <w:vAlign w:val="center"/>
            <w:hideMark/>
          </w:tcPr>
          <w:p w14:paraId="248D67D1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2,800</w:t>
            </w:r>
          </w:p>
        </w:tc>
        <w:tc>
          <w:tcPr>
            <w:tcW w:w="1534" w:type="pct"/>
            <w:shd w:val="clear" w:color="auto" w:fill="8EAADB" w:themeFill="accent1" w:themeFillTint="99"/>
            <w:noWrap/>
            <w:vAlign w:val="center"/>
            <w:hideMark/>
          </w:tcPr>
          <w:p w14:paraId="5FD48AA0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856" w:type="pct"/>
            <w:shd w:val="clear" w:color="auto" w:fill="8EAADB" w:themeFill="accent1" w:themeFillTint="99"/>
            <w:noWrap/>
            <w:vAlign w:val="center"/>
            <w:hideMark/>
          </w:tcPr>
          <w:p w14:paraId="77D703D3" w14:textId="77777777" w:rsidR="00A26DEF" w:rsidRPr="001C38A1" w:rsidRDefault="00A26DEF" w:rsidP="001C38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1C38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2,952</w:t>
            </w:r>
          </w:p>
        </w:tc>
      </w:tr>
    </w:tbl>
    <w:p w14:paraId="3668925E" w14:textId="55E79D8C" w:rsidR="001F0A8E" w:rsidRPr="001C38A1" w:rsidRDefault="001F0A8E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1C38A1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1C38A1">
        <w:rPr>
          <w:rFonts w:ascii="Times New Roman" w:hAnsi="Times New Roman" w:cs="Times New Roman"/>
          <w:sz w:val="18"/>
          <w:szCs w:val="18"/>
        </w:rPr>
        <w:t>UPSF</w:t>
      </w:r>
      <w:r w:rsidRPr="001C38A1">
        <w:rPr>
          <w:rFonts w:ascii="Times New Roman" w:hAnsi="Times New Roman" w:cs="Times New Roman"/>
          <w:sz w:val="18"/>
          <w:szCs w:val="18"/>
        </w:rPr>
        <w:t xml:space="preserve">) y Coordinación de Sedes </w:t>
      </w:r>
    </w:p>
    <w:p w14:paraId="5132C708" w14:textId="54BEF42D" w:rsidR="002121E9" w:rsidRPr="00FA0403" w:rsidRDefault="002121E9" w:rsidP="004F4B95">
      <w:pPr>
        <w:pStyle w:val="Ttulo1"/>
        <w:rPr>
          <w:rFonts w:eastAsiaTheme="minorHAnsi"/>
        </w:rPr>
      </w:pPr>
      <w:bookmarkStart w:id="44" w:name="_Toc216788748"/>
      <w:r w:rsidRPr="00FA0403">
        <w:rPr>
          <w:rFonts w:eastAsiaTheme="minorHAnsi"/>
        </w:rPr>
        <w:t xml:space="preserve">Quejas Documentadas </w:t>
      </w:r>
      <w:r w:rsidR="007A39F0">
        <w:rPr>
          <w:rFonts w:eastAsiaTheme="minorHAnsi"/>
        </w:rPr>
        <w:t>-UPSF-</w:t>
      </w:r>
      <w:bookmarkEnd w:id="44"/>
    </w:p>
    <w:p w14:paraId="2A6206A6" w14:textId="77777777" w:rsidR="005A7013" w:rsidRPr="00FA0403" w:rsidRDefault="005A7013" w:rsidP="005A7013">
      <w:pPr>
        <w:rPr>
          <w:rFonts w:ascii="Times New Roman" w:hAnsi="Times New Roman" w:cs="Times New Roman"/>
          <w:sz w:val="22"/>
          <w:szCs w:val="22"/>
        </w:rPr>
      </w:pPr>
    </w:p>
    <w:p w14:paraId="3FBD5F0E" w14:textId="7516DE9C" w:rsidR="002121E9" w:rsidRDefault="002121E9" w:rsidP="002121E9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Durante el mes de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Pr="00FA0403">
        <w:rPr>
          <w:rFonts w:ascii="Times New Roman" w:hAnsi="Times New Roman" w:cs="Times New Roman"/>
          <w:sz w:val="22"/>
          <w:szCs w:val="22"/>
        </w:rPr>
        <w:t xml:space="preserve"> se documentaron </w:t>
      </w:r>
      <w:r w:rsidR="008B1E40" w:rsidRPr="00FA0403">
        <w:rPr>
          <w:rFonts w:ascii="Times New Roman" w:hAnsi="Times New Roman" w:cs="Times New Roman"/>
          <w:sz w:val="22"/>
          <w:szCs w:val="22"/>
        </w:rPr>
        <w:t xml:space="preserve">194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por parte de los </w:t>
      </w:r>
      <w:r w:rsidR="00A27455" w:rsidRPr="00FA0403">
        <w:rPr>
          <w:rFonts w:ascii="Times New Roman" w:hAnsi="Times New Roman" w:cs="Times New Roman"/>
          <w:sz w:val="22"/>
          <w:szCs w:val="22"/>
        </w:rPr>
        <w:t>tarjetahabientes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, de las </w:t>
      </w:r>
      <w:r w:rsidR="008E71F3" w:rsidRPr="00FA0403">
        <w:rPr>
          <w:rFonts w:ascii="Times New Roman" w:hAnsi="Times New Roman" w:cs="Times New Roman"/>
          <w:sz w:val="22"/>
          <w:szCs w:val="22"/>
        </w:rPr>
        <w:t>cuales,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la </w:t>
      </w:r>
      <w:r w:rsidRPr="00FA0403">
        <w:rPr>
          <w:rFonts w:ascii="Times New Roman" w:hAnsi="Times New Roman" w:cs="Times New Roman"/>
          <w:sz w:val="22"/>
          <w:szCs w:val="22"/>
        </w:rPr>
        <w:t>Sede Central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 a través de la Unidad de Protección de Servicios Financieros, </w:t>
      </w:r>
      <w:r w:rsidRPr="00FA0403">
        <w:rPr>
          <w:rFonts w:ascii="Times New Roman" w:hAnsi="Times New Roman" w:cs="Times New Roman"/>
          <w:sz w:val="22"/>
          <w:szCs w:val="22"/>
        </w:rPr>
        <w:t xml:space="preserve">fueron documentadas </w:t>
      </w:r>
      <w:r w:rsidR="002004C1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81</w:t>
      </w:r>
      <w:r w:rsidR="003D110F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Pr="00FA0403">
        <w:rPr>
          <w:rFonts w:ascii="Times New Roman" w:hAnsi="Times New Roman" w:cs="Times New Roman"/>
          <w:sz w:val="22"/>
          <w:szCs w:val="22"/>
        </w:rPr>
        <w:t xml:space="preserve">quejas y </w:t>
      </w:r>
      <w:r w:rsidR="008B1E40" w:rsidRPr="00FA0403">
        <w:rPr>
          <w:rFonts w:ascii="Times New Roman" w:hAnsi="Times New Roman" w:cs="Times New Roman"/>
          <w:sz w:val="22"/>
          <w:szCs w:val="22"/>
        </w:rPr>
        <w:t>13</w:t>
      </w:r>
      <w:r w:rsidR="00E46736" w:rsidRPr="00FA0403">
        <w:rPr>
          <w:rFonts w:ascii="Times New Roman" w:hAnsi="Times New Roman" w:cs="Times New Roman"/>
          <w:sz w:val="22"/>
          <w:szCs w:val="22"/>
        </w:rPr>
        <w:t xml:space="preserve"> quejas </w:t>
      </w: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las </w:t>
      </w:r>
      <w:r w:rsidRPr="00FA0403">
        <w:rPr>
          <w:rFonts w:ascii="Times New Roman" w:hAnsi="Times New Roman" w:cs="Times New Roman"/>
          <w:sz w:val="22"/>
          <w:szCs w:val="22"/>
        </w:rPr>
        <w:t>Sedes Departamentales, según se detalla en el cuadro siguiente:</w:t>
      </w:r>
    </w:p>
    <w:p w14:paraId="09670E85" w14:textId="77777777" w:rsidR="00E06966" w:rsidRPr="00FA0403" w:rsidRDefault="00E06966" w:rsidP="002121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188F0A" w14:textId="06F249C0" w:rsidR="002121E9" w:rsidRPr="00FA0403" w:rsidRDefault="002121E9" w:rsidP="004F4B95">
      <w:pPr>
        <w:pStyle w:val="Tablas"/>
      </w:pPr>
      <w:bookmarkStart w:id="45" w:name="_Toc216797452"/>
      <w:r w:rsidRPr="00FA0403">
        <w:t xml:space="preserve">Cuadro </w:t>
      </w:r>
      <w:r w:rsidR="00E06966">
        <w:t xml:space="preserve">26:  </w:t>
      </w:r>
      <w:r w:rsidRPr="00FA0403">
        <w:t>Quejas Documentadas</w:t>
      </w:r>
      <w:r w:rsidR="002D7066">
        <w:t xml:space="preserve">, </w:t>
      </w:r>
      <w:r w:rsidR="00590048">
        <w:t>noviembre</w:t>
      </w:r>
      <w:r w:rsidR="002D7066">
        <w:t xml:space="preserve"> 2025</w:t>
      </w:r>
      <w:bookmarkEnd w:id="45"/>
    </w:p>
    <w:tbl>
      <w:tblPr>
        <w:tblW w:w="9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7"/>
        <w:gridCol w:w="2296"/>
        <w:gridCol w:w="2626"/>
        <w:gridCol w:w="2285"/>
      </w:tblGrid>
      <w:tr w:rsidR="00A26DEF" w:rsidRPr="00E06966" w14:paraId="20BDAF0C" w14:textId="77777777" w:rsidTr="00A26DEF">
        <w:trPr>
          <w:trHeight w:val="340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2331BB1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DBA3DD4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E2B067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F9636B5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26DEF" w:rsidRPr="00E06966" w14:paraId="47D9466F" w14:textId="77777777" w:rsidTr="00A26DEF">
        <w:trPr>
          <w:trHeight w:val="340"/>
        </w:trPr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F12B6A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1B42FE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2E60109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CC28C4A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26DEF" w:rsidRPr="00E06966" w14:paraId="71393E57" w14:textId="77777777" w:rsidTr="00A26DEF">
        <w:trPr>
          <w:trHeight w:val="340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F1CE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51BD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181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9AB3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13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31A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194</w:t>
            </w:r>
          </w:p>
        </w:tc>
      </w:tr>
    </w:tbl>
    <w:p w14:paraId="2A3C0E90" w14:textId="314D1477" w:rsidR="001F0A8E" w:rsidRPr="00E06966" w:rsidRDefault="001F0A8E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E06966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E06966">
        <w:rPr>
          <w:rFonts w:ascii="Times New Roman" w:hAnsi="Times New Roman" w:cs="Times New Roman"/>
          <w:sz w:val="18"/>
          <w:szCs w:val="18"/>
        </w:rPr>
        <w:t>UPSF</w:t>
      </w:r>
      <w:r w:rsidRPr="00E06966">
        <w:rPr>
          <w:rFonts w:ascii="Times New Roman" w:hAnsi="Times New Roman" w:cs="Times New Roman"/>
          <w:sz w:val="18"/>
          <w:szCs w:val="18"/>
        </w:rPr>
        <w:t xml:space="preserve">) </w:t>
      </w:r>
      <w:r w:rsidR="00757765" w:rsidRPr="00E06966">
        <w:rPr>
          <w:rFonts w:ascii="Times New Roman" w:hAnsi="Times New Roman" w:cs="Times New Roman"/>
          <w:sz w:val="18"/>
          <w:szCs w:val="18"/>
        </w:rPr>
        <w:t xml:space="preserve">y </w:t>
      </w:r>
      <w:r w:rsidRPr="00E06966">
        <w:rPr>
          <w:rFonts w:ascii="Times New Roman" w:hAnsi="Times New Roman" w:cs="Times New Roman"/>
          <w:sz w:val="18"/>
          <w:szCs w:val="18"/>
        </w:rPr>
        <w:t xml:space="preserve">Coordinación de Sedes </w:t>
      </w:r>
    </w:p>
    <w:p w14:paraId="312810FB" w14:textId="13F84313" w:rsidR="004C1918" w:rsidRPr="00E06966" w:rsidRDefault="004C1918" w:rsidP="001F0A8E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9FC000" w14:textId="0B7A069E" w:rsidR="00B2098F" w:rsidRPr="00FA0403" w:rsidRDefault="00B2098F" w:rsidP="00B2098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documentado </w:t>
      </w:r>
      <w:r w:rsidR="004A5D1C" w:rsidRPr="00FA0403">
        <w:rPr>
          <w:rFonts w:ascii="Times New Roman" w:hAnsi="Times New Roman" w:cs="Times New Roman"/>
          <w:sz w:val="22"/>
          <w:szCs w:val="22"/>
        </w:rPr>
        <w:t>1,</w:t>
      </w:r>
      <w:r w:rsidR="008B1E40" w:rsidRPr="00FA0403">
        <w:rPr>
          <w:rFonts w:ascii="Times New Roman" w:hAnsi="Times New Roman" w:cs="Times New Roman"/>
          <w:sz w:val="22"/>
          <w:szCs w:val="22"/>
        </w:rPr>
        <w:t>770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quejas; </w:t>
      </w:r>
      <w:r w:rsidR="00A5296E" w:rsidRPr="00FA0403">
        <w:rPr>
          <w:rFonts w:ascii="Times New Roman" w:hAnsi="Times New Roman" w:cs="Times New Roman"/>
          <w:sz w:val="22"/>
          <w:szCs w:val="22"/>
        </w:rPr>
        <w:t>1,</w:t>
      </w:r>
      <w:r w:rsidR="008B1E40" w:rsidRPr="00FA0403">
        <w:rPr>
          <w:rFonts w:ascii="Times New Roman" w:hAnsi="Times New Roman" w:cs="Times New Roman"/>
          <w:sz w:val="22"/>
          <w:szCs w:val="22"/>
        </w:rPr>
        <w:t>618</w:t>
      </w:r>
      <w:r w:rsidR="00A5296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F6A94" w:rsidRPr="00FA0403">
        <w:rPr>
          <w:rFonts w:ascii="Times New Roman" w:hAnsi="Times New Roman" w:cs="Times New Roman"/>
          <w:sz w:val="22"/>
          <w:szCs w:val="22"/>
        </w:rPr>
        <w:t>quejas</w:t>
      </w:r>
      <w:r w:rsidRPr="00FA0403">
        <w:rPr>
          <w:rFonts w:ascii="Times New Roman" w:hAnsi="Times New Roman" w:cs="Times New Roman"/>
          <w:sz w:val="22"/>
          <w:szCs w:val="22"/>
        </w:rPr>
        <w:t xml:space="preserve"> en la Sede Central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 a través de la Unidad de Protección de Servicios Financieros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</w:t>
      </w:r>
      <w:r w:rsidR="00194906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52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7F6A94" w:rsidRPr="00FA0403">
        <w:rPr>
          <w:rFonts w:ascii="Times New Roman" w:hAnsi="Times New Roman" w:cs="Times New Roman"/>
          <w:sz w:val="22"/>
          <w:szCs w:val="22"/>
        </w:rPr>
        <w:t xml:space="preserve">quejas </w:t>
      </w:r>
      <w:r w:rsidRPr="00FA0403">
        <w:rPr>
          <w:rFonts w:ascii="Times New Roman" w:hAnsi="Times New Roman" w:cs="Times New Roman"/>
          <w:sz w:val="22"/>
          <w:szCs w:val="22"/>
        </w:rPr>
        <w:t>en las Sedes Departamentales, como se detalla a continuación:</w:t>
      </w:r>
    </w:p>
    <w:p w14:paraId="6396A1C9" w14:textId="77777777" w:rsidR="00F87283" w:rsidRPr="00FA0403" w:rsidRDefault="00F87283" w:rsidP="00B209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E1E0AD" w14:textId="5A2CCD5A" w:rsidR="00B2098F" w:rsidRPr="00FA0403" w:rsidRDefault="00B2098F" w:rsidP="004F4B95">
      <w:pPr>
        <w:pStyle w:val="Tablas"/>
      </w:pPr>
      <w:bookmarkStart w:id="46" w:name="_Toc216797453"/>
      <w:r w:rsidRPr="00FA0403">
        <w:t xml:space="preserve">Cuadro </w:t>
      </w:r>
      <w:r w:rsidR="00E06966">
        <w:t xml:space="preserve">27:  </w:t>
      </w:r>
      <w:r w:rsidRPr="00FA0403">
        <w:t>Quejas Documentadas</w:t>
      </w:r>
      <w:r w:rsidR="00A26DEF">
        <w:t xml:space="preserve">, </w:t>
      </w:r>
      <w:r w:rsidR="00590048">
        <w:t>e</w:t>
      </w:r>
      <w:r w:rsidRPr="00FA0403">
        <w:t xml:space="preserve">nero – </w:t>
      </w:r>
      <w:r w:rsidR="00590048" w:rsidRPr="00FA0403">
        <w:t>noviembre</w:t>
      </w:r>
      <w:r w:rsidR="00325EA0" w:rsidRPr="00FA0403">
        <w:t xml:space="preserve"> 2025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7"/>
        <w:gridCol w:w="1807"/>
        <w:gridCol w:w="3418"/>
        <w:gridCol w:w="1422"/>
      </w:tblGrid>
      <w:tr w:rsidR="00A26DEF" w:rsidRPr="00E06966" w14:paraId="0E12A3A4" w14:textId="77777777" w:rsidTr="00A26DEF">
        <w:trPr>
          <w:trHeight w:val="340"/>
        </w:trPr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E1841A7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LINEAS DE TRABAJO</w:t>
            </w:r>
          </w:p>
        </w:tc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39B8AFF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 CENTRAL</w:t>
            </w:r>
          </w:p>
        </w:tc>
        <w:tc>
          <w:tcPr>
            <w:tcW w:w="1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1301E9E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SEDES DEPARTAMENTALES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138644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26DEF" w:rsidRPr="00E06966" w14:paraId="37109D06" w14:textId="77777777" w:rsidTr="00A26DEF">
        <w:trPr>
          <w:trHeight w:val="340"/>
        </w:trPr>
        <w:tc>
          <w:tcPr>
            <w:tcW w:w="1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C1C823F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CBDA983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1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31D05E5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B77ED0B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26DEF" w:rsidRPr="00E06966" w14:paraId="2F5B7DE4" w14:textId="77777777" w:rsidTr="00A26DEF">
        <w:trPr>
          <w:trHeight w:val="340"/>
        </w:trPr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F35" w14:textId="77777777" w:rsidR="00A26DEF" w:rsidRPr="00E06966" w:rsidRDefault="00A26DEF" w:rsidP="00E0696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Quejas Documentadas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076F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1,618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E320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0623" w14:textId="77777777" w:rsidR="00A26DEF" w:rsidRPr="00E06966" w:rsidRDefault="00A26DEF" w:rsidP="00E069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E06966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1,770</w:t>
            </w:r>
          </w:p>
        </w:tc>
      </w:tr>
    </w:tbl>
    <w:p w14:paraId="0F8C2B80" w14:textId="491150D1" w:rsidR="001F0A8E" w:rsidRPr="00E06966" w:rsidRDefault="001F0A8E" w:rsidP="001F0A8E">
      <w:pPr>
        <w:jc w:val="both"/>
        <w:rPr>
          <w:rFonts w:ascii="Times New Roman" w:hAnsi="Times New Roman" w:cs="Times New Roman"/>
          <w:sz w:val="18"/>
          <w:szCs w:val="18"/>
        </w:rPr>
      </w:pPr>
      <w:r w:rsidRPr="00E06966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E06966">
        <w:rPr>
          <w:rFonts w:ascii="Times New Roman" w:hAnsi="Times New Roman" w:cs="Times New Roman"/>
          <w:sz w:val="18"/>
          <w:szCs w:val="18"/>
        </w:rPr>
        <w:t>UPSF</w:t>
      </w:r>
      <w:r w:rsidRPr="00E06966">
        <w:rPr>
          <w:rFonts w:ascii="Times New Roman" w:hAnsi="Times New Roman" w:cs="Times New Roman"/>
          <w:sz w:val="18"/>
          <w:szCs w:val="18"/>
        </w:rPr>
        <w:t>) y</w:t>
      </w:r>
      <w:r w:rsidR="00B75D5A" w:rsidRPr="00E06966">
        <w:rPr>
          <w:rFonts w:ascii="Times New Roman" w:hAnsi="Times New Roman" w:cs="Times New Roman"/>
          <w:sz w:val="18"/>
          <w:szCs w:val="18"/>
        </w:rPr>
        <w:t xml:space="preserve"> </w:t>
      </w:r>
      <w:r w:rsidR="00AD343D" w:rsidRPr="00E06966">
        <w:rPr>
          <w:rFonts w:ascii="Times New Roman" w:hAnsi="Times New Roman" w:cs="Times New Roman"/>
          <w:sz w:val="18"/>
          <w:szCs w:val="18"/>
        </w:rPr>
        <w:t>Coordinación</w:t>
      </w:r>
      <w:r w:rsidRPr="00E06966">
        <w:rPr>
          <w:rFonts w:ascii="Times New Roman" w:hAnsi="Times New Roman" w:cs="Times New Roman"/>
          <w:sz w:val="18"/>
          <w:szCs w:val="18"/>
        </w:rPr>
        <w:t xml:space="preserve"> de Sedes </w:t>
      </w:r>
    </w:p>
    <w:p w14:paraId="12FABC5A" w14:textId="2669525B" w:rsidR="002121E9" w:rsidRDefault="002121E9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730A9A51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37280528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5009CB3D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3D1F7CBE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59F1E95B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71C0BF80" w14:textId="77777777" w:rsidR="002D7066" w:rsidRDefault="002D70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31894686" w14:textId="697E836E" w:rsidR="00E06966" w:rsidRDefault="00E069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3584F831" w14:textId="4932327D" w:rsidR="00E06966" w:rsidRDefault="00E069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25C7B237" w14:textId="790CA26C" w:rsidR="00E06966" w:rsidRDefault="00E06966" w:rsidP="00AF14BB">
      <w:pPr>
        <w:rPr>
          <w:rFonts w:ascii="Times New Roman" w:hAnsi="Times New Roman" w:cs="Times New Roman"/>
          <w:sz w:val="22"/>
          <w:szCs w:val="22"/>
          <w:shd w:val="clear" w:color="auto" w:fill="E0E0E0"/>
        </w:rPr>
      </w:pPr>
    </w:p>
    <w:p w14:paraId="38188709" w14:textId="5A135579" w:rsidR="002121E9" w:rsidRPr="00FA0403" w:rsidRDefault="002121E9" w:rsidP="004F4B95">
      <w:pPr>
        <w:pStyle w:val="Ttulo1"/>
        <w:rPr>
          <w:rFonts w:eastAsiaTheme="minorHAnsi"/>
        </w:rPr>
      </w:pPr>
      <w:bookmarkStart w:id="47" w:name="_Toc216788749"/>
      <w:r w:rsidRPr="00FA0403">
        <w:rPr>
          <w:rFonts w:eastAsiaTheme="minorHAnsi"/>
        </w:rPr>
        <w:t>Atención y Resolución de Quejas de la Unidad de Protección de Servicios Financieros y Asesorías</w:t>
      </w:r>
      <w:r w:rsidR="007A39F0">
        <w:rPr>
          <w:rFonts w:eastAsiaTheme="minorHAnsi"/>
        </w:rPr>
        <w:t xml:space="preserve"> -UPSF-</w:t>
      </w:r>
      <w:bookmarkEnd w:id="47"/>
    </w:p>
    <w:p w14:paraId="200142E8" w14:textId="77777777" w:rsidR="002121E9" w:rsidRPr="00FA0403" w:rsidRDefault="002121E9" w:rsidP="002121E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DC722F" w14:textId="76CE2D5E" w:rsidR="00AF44B7" w:rsidRPr="00FA0403" w:rsidRDefault="002121E9" w:rsidP="00AF44B7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</w:t>
      </w:r>
      <w:r w:rsidR="008B1E40" w:rsidRPr="00FA0403">
        <w:rPr>
          <w:rFonts w:ascii="Times New Roman" w:hAnsi="Times New Roman" w:cs="Times New Roman"/>
          <w:sz w:val="22"/>
          <w:szCs w:val="22"/>
        </w:rPr>
        <w:t>noviembre</w:t>
      </w:r>
      <w:r w:rsidR="0012441E" w:rsidRPr="00FA0403">
        <w:rPr>
          <w:rFonts w:ascii="Times New Roman" w:hAnsi="Times New Roman" w:cs="Times New Roman"/>
          <w:sz w:val="22"/>
          <w:szCs w:val="22"/>
        </w:rPr>
        <w:t xml:space="preserve">, en la Unidad de Protección de Servicios Financieros, </w:t>
      </w:r>
      <w:r w:rsidRPr="00FA0403">
        <w:rPr>
          <w:rFonts w:ascii="Times New Roman" w:hAnsi="Times New Roman" w:cs="Times New Roman"/>
          <w:sz w:val="22"/>
          <w:szCs w:val="22"/>
        </w:rPr>
        <w:t xml:space="preserve">se resolvieron </w:t>
      </w:r>
      <w:r w:rsidR="008B1E40" w:rsidRPr="00FA0403">
        <w:rPr>
          <w:rFonts w:ascii="Times New Roman" w:hAnsi="Times New Roman" w:cs="Times New Roman"/>
          <w:sz w:val="22"/>
          <w:szCs w:val="22"/>
        </w:rPr>
        <w:t>118</w:t>
      </w:r>
      <w:r w:rsidRPr="00FA0403">
        <w:rPr>
          <w:rFonts w:ascii="Times New Roman" w:hAnsi="Times New Roman" w:cs="Times New Roman"/>
          <w:sz w:val="22"/>
          <w:szCs w:val="22"/>
        </w:rPr>
        <w:t xml:space="preserve"> quejas, </w:t>
      </w:r>
      <w:r w:rsidR="008B1E40" w:rsidRPr="00FA0403">
        <w:rPr>
          <w:rFonts w:ascii="Times New Roman" w:hAnsi="Times New Roman" w:cs="Times New Roman"/>
          <w:sz w:val="22"/>
          <w:szCs w:val="22"/>
        </w:rPr>
        <w:t>15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mediación y </w:t>
      </w:r>
      <w:r w:rsidR="008B1E40" w:rsidRPr="00FA0403">
        <w:rPr>
          <w:rFonts w:ascii="Times New Roman" w:hAnsi="Times New Roman" w:cs="Times New Roman"/>
          <w:sz w:val="22"/>
          <w:szCs w:val="22"/>
        </w:rPr>
        <w:t>103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conciliación. </w:t>
      </w:r>
      <w:r w:rsidR="00AF44B7" w:rsidRPr="00FA0403">
        <w:rPr>
          <w:rFonts w:ascii="Times New Roman" w:hAnsi="Times New Roman" w:cs="Times New Roman"/>
          <w:sz w:val="22"/>
          <w:szCs w:val="22"/>
        </w:rPr>
        <w:t xml:space="preserve"> Asimismo, se brindaron asesorías y se atendieron consultas a 1,</w:t>
      </w:r>
      <w:r w:rsidR="002004C1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55</w:t>
      </w:r>
      <w:r w:rsidR="00AF44B7" w:rsidRPr="00FA0403">
        <w:rPr>
          <w:rFonts w:ascii="Times New Roman" w:hAnsi="Times New Roman" w:cs="Times New Roman"/>
          <w:sz w:val="22"/>
          <w:szCs w:val="22"/>
        </w:rPr>
        <w:t xml:space="preserve"> personas, según se detalla en el cuadro siguiente:</w:t>
      </w:r>
    </w:p>
    <w:p w14:paraId="2D3F3C87" w14:textId="7C79729D" w:rsidR="009A69BC" w:rsidRPr="00FA0403" w:rsidRDefault="009A69BC" w:rsidP="002121E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B0DFF0B" w14:textId="3038E9BA" w:rsidR="002121E9" w:rsidRPr="00FA0403" w:rsidRDefault="002121E9" w:rsidP="004F4B95">
      <w:pPr>
        <w:pStyle w:val="Tablas"/>
      </w:pPr>
      <w:bookmarkStart w:id="48" w:name="_Toc216797454"/>
      <w:r w:rsidRPr="00FA0403">
        <w:t xml:space="preserve">Cuadro </w:t>
      </w:r>
      <w:r w:rsidR="00F92753">
        <w:t xml:space="preserve">28:   </w:t>
      </w:r>
      <w:r w:rsidRPr="00FA0403">
        <w:t>Resolución de Quejas y Asesorías</w:t>
      </w:r>
      <w:r w:rsidR="00A26DEF">
        <w:t xml:space="preserve">, </w:t>
      </w:r>
      <w:r w:rsidR="00590048">
        <w:t>noviembre</w:t>
      </w:r>
      <w:r w:rsidR="00A26DEF">
        <w:t xml:space="preserve"> 2025</w:t>
      </w:r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7"/>
        <w:gridCol w:w="3602"/>
        <w:gridCol w:w="2865"/>
      </w:tblGrid>
      <w:tr w:rsidR="00A26DEF" w:rsidRPr="004E4B23" w14:paraId="2229F026" w14:textId="77777777" w:rsidTr="00BA4CAF">
        <w:trPr>
          <w:trHeight w:val="340"/>
        </w:trPr>
        <w:tc>
          <w:tcPr>
            <w:tcW w:w="1558" w:type="pct"/>
            <w:vMerge w:val="restart"/>
            <w:shd w:val="clear" w:color="auto" w:fill="8EAADB" w:themeFill="accent1" w:themeFillTint="99"/>
            <w:vAlign w:val="center"/>
            <w:hideMark/>
          </w:tcPr>
          <w:p w14:paraId="335A5566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1917" w:type="pct"/>
            <w:vMerge w:val="restart"/>
            <w:shd w:val="clear" w:color="auto" w:fill="8EAADB" w:themeFill="accent1" w:themeFillTint="99"/>
            <w:vAlign w:val="center"/>
            <w:hideMark/>
          </w:tcPr>
          <w:p w14:paraId="2B8B09BD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SERVICIOS FINANCIEROS</w:t>
            </w:r>
          </w:p>
        </w:tc>
        <w:tc>
          <w:tcPr>
            <w:tcW w:w="1525" w:type="pct"/>
            <w:vMerge w:val="restart"/>
            <w:shd w:val="clear" w:color="auto" w:fill="8EAADB" w:themeFill="accent1" w:themeFillTint="99"/>
            <w:noWrap/>
            <w:vAlign w:val="center"/>
            <w:hideMark/>
          </w:tcPr>
          <w:p w14:paraId="10016FC7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TOTAL</w:t>
            </w:r>
          </w:p>
        </w:tc>
      </w:tr>
      <w:tr w:rsidR="00A26DEF" w:rsidRPr="004E4B23" w14:paraId="50D1DA31" w14:textId="77777777" w:rsidTr="00BA4CAF">
        <w:trPr>
          <w:trHeight w:val="340"/>
        </w:trPr>
        <w:tc>
          <w:tcPr>
            <w:tcW w:w="1558" w:type="pct"/>
            <w:vMerge/>
            <w:shd w:val="clear" w:color="auto" w:fill="8EAADB" w:themeFill="accent1" w:themeFillTint="99"/>
            <w:vAlign w:val="center"/>
            <w:hideMark/>
          </w:tcPr>
          <w:p w14:paraId="3DEEA6E4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917" w:type="pct"/>
            <w:vMerge/>
            <w:shd w:val="clear" w:color="auto" w:fill="8EAADB" w:themeFill="accent1" w:themeFillTint="99"/>
            <w:vAlign w:val="center"/>
            <w:hideMark/>
          </w:tcPr>
          <w:p w14:paraId="07853E71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1525" w:type="pct"/>
            <w:vMerge/>
            <w:shd w:val="clear" w:color="auto" w:fill="8EAADB" w:themeFill="accent1" w:themeFillTint="99"/>
            <w:vAlign w:val="center"/>
            <w:hideMark/>
          </w:tcPr>
          <w:p w14:paraId="1DB91EB7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A26DEF" w:rsidRPr="004E4B23" w14:paraId="671F8C6C" w14:textId="77777777" w:rsidTr="00BA4CAF">
        <w:trPr>
          <w:trHeight w:val="340"/>
        </w:trPr>
        <w:tc>
          <w:tcPr>
            <w:tcW w:w="1558" w:type="pct"/>
            <w:shd w:val="clear" w:color="auto" w:fill="auto"/>
            <w:vAlign w:val="center"/>
            <w:hideMark/>
          </w:tcPr>
          <w:p w14:paraId="1DAC73AD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Mediaciones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14:paraId="7BDE8092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15</w:t>
            </w:r>
          </w:p>
        </w:tc>
        <w:tc>
          <w:tcPr>
            <w:tcW w:w="1525" w:type="pct"/>
            <w:shd w:val="clear" w:color="auto" w:fill="8EAADB" w:themeFill="accent1" w:themeFillTint="99"/>
            <w:noWrap/>
            <w:vAlign w:val="center"/>
            <w:hideMark/>
          </w:tcPr>
          <w:p w14:paraId="21F7613E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15</w:t>
            </w:r>
          </w:p>
        </w:tc>
      </w:tr>
      <w:tr w:rsidR="00A26DEF" w:rsidRPr="004E4B23" w14:paraId="0254E985" w14:textId="77777777" w:rsidTr="00BA4CAF">
        <w:trPr>
          <w:trHeight w:val="340"/>
        </w:trPr>
        <w:tc>
          <w:tcPr>
            <w:tcW w:w="1558" w:type="pct"/>
            <w:shd w:val="clear" w:color="auto" w:fill="auto"/>
            <w:vAlign w:val="center"/>
            <w:hideMark/>
          </w:tcPr>
          <w:p w14:paraId="405AFBB4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14:paraId="7D76F484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103</w:t>
            </w:r>
          </w:p>
        </w:tc>
        <w:tc>
          <w:tcPr>
            <w:tcW w:w="1525" w:type="pct"/>
            <w:shd w:val="clear" w:color="auto" w:fill="8EAADB" w:themeFill="accent1" w:themeFillTint="99"/>
            <w:noWrap/>
            <w:vAlign w:val="center"/>
            <w:hideMark/>
          </w:tcPr>
          <w:p w14:paraId="578F5AC5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103</w:t>
            </w:r>
          </w:p>
        </w:tc>
      </w:tr>
      <w:tr w:rsidR="00A26DEF" w:rsidRPr="004E4B23" w14:paraId="7A656B1D" w14:textId="77777777" w:rsidTr="00BA4CAF">
        <w:trPr>
          <w:trHeight w:val="340"/>
        </w:trPr>
        <w:tc>
          <w:tcPr>
            <w:tcW w:w="1558" w:type="pct"/>
            <w:shd w:val="clear" w:color="000000" w:fill="D9D9D9"/>
            <w:vAlign w:val="center"/>
            <w:hideMark/>
          </w:tcPr>
          <w:p w14:paraId="0E8F533C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17" w:type="pct"/>
            <w:shd w:val="clear" w:color="000000" w:fill="D9D9D9"/>
            <w:vAlign w:val="center"/>
            <w:hideMark/>
          </w:tcPr>
          <w:p w14:paraId="2B78D5F4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525" w:type="pct"/>
            <w:shd w:val="clear" w:color="000000" w:fill="D9D9D9"/>
            <w:noWrap/>
            <w:vAlign w:val="center"/>
            <w:hideMark/>
          </w:tcPr>
          <w:p w14:paraId="55B4C21D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118</w:t>
            </w:r>
          </w:p>
        </w:tc>
      </w:tr>
      <w:tr w:rsidR="00A26DEF" w:rsidRPr="004E4B23" w14:paraId="79B4B44F" w14:textId="77777777" w:rsidTr="00BA4CAF">
        <w:trPr>
          <w:trHeight w:val="340"/>
        </w:trPr>
        <w:tc>
          <w:tcPr>
            <w:tcW w:w="1558" w:type="pct"/>
            <w:shd w:val="clear" w:color="auto" w:fill="auto"/>
            <w:vAlign w:val="center"/>
            <w:hideMark/>
          </w:tcPr>
          <w:p w14:paraId="1FCB23A9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1917" w:type="pct"/>
            <w:shd w:val="clear" w:color="auto" w:fill="auto"/>
            <w:vAlign w:val="center"/>
            <w:hideMark/>
          </w:tcPr>
          <w:p w14:paraId="4F23C211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1,155</w:t>
            </w:r>
          </w:p>
        </w:tc>
        <w:tc>
          <w:tcPr>
            <w:tcW w:w="1525" w:type="pct"/>
            <w:shd w:val="clear" w:color="auto" w:fill="8EAADB" w:themeFill="accent1" w:themeFillTint="99"/>
            <w:vAlign w:val="center"/>
            <w:hideMark/>
          </w:tcPr>
          <w:p w14:paraId="29D8DE71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1,155</w:t>
            </w:r>
          </w:p>
        </w:tc>
      </w:tr>
    </w:tbl>
    <w:p w14:paraId="42FE28D4" w14:textId="39AE430C" w:rsidR="002121E9" w:rsidRPr="004E4B23" w:rsidRDefault="001F0A8E" w:rsidP="00AD7168">
      <w:pPr>
        <w:rPr>
          <w:rFonts w:ascii="Times New Roman" w:hAnsi="Times New Roman" w:cs="Times New Roman"/>
          <w:b/>
          <w:sz w:val="18"/>
          <w:szCs w:val="18"/>
        </w:rPr>
      </w:pPr>
      <w:r w:rsidRPr="004E4B23">
        <w:rPr>
          <w:rFonts w:ascii="Times New Roman" w:hAnsi="Times New Roman" w:cs="Times New Roman"/>
          <w:sz w:val="18"/>
          <w:szCs w:val="18"/>
        </w:rPr>
        <w:t>Fuente: Departamentos de Verificación y Vigilancia (</w:t>
      </w:r>
      <w:r w:rsidR="00495E7D" w:rsidRPr="004E4B23">
        <w:rPr>
          <w:rFonts w:ascii="Times New Roman" w:hAnsi="Times New Roman" w:cs="Times New Roman"/>
          <w:sz w:val="18"/>
          <w:szCs w:val="18"/>
        </w:rPr>
        <w:t>UPSF</w:t>
      </w:r>
      <w:r w:rsidRPr="004E4B23">
        <w:rPr>
          <w:rFonts w:ascii="Times New Roman" w:hAnsi="Times New Roman" w:cs="Times New Roman"/>
          <w:sz w:val="18"/>
          <w:szCs w:val="18"/>
        </w:rPr>
        <w:t>)</w:t>
      </w:r>
    </w:p>
    <w:p w14:paraId="1272294A" w14:textId="312265F7" w:rsidR="004F2735" w:rsidRPr="004E4B23" w:rsidRDefault="004F2735" w:rsidP="00B2098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1C1055" w14:textId="05F8C794" w:rsidR="00B2098F" w:rsidRPr="00FA0403" w:rsidRDefault="00B2098F" w:rsidP="00B2098F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En lo que va del año, se han resuelto </w:t>
      </w:r>
      <w:r w:rsidR="008B1E40" w:rsidRPr="00FA0403">
        <w:rPr>
          <w:rFonts w:ascii="Times New Roman" w:hAnsi="Times New Roman" w:cs="Times New Roman"/>
          <w:sz w:val="22"/>
          <w:szCs w:val="22"/>
        </w:rPr>
        <w:t>978</w:t>
      </w:r>
      <w:r w:rsidR="00064051" w:rsidRPr="00FA0403">
        <w:rPr>
          <w:rFonts w:ascii="Times New Roman" w:hAnsi="Times New Roman" w:cs="Times New Roman"/>
          <w:sz w:val="22"/>
          <w:szCs w:val="22"/>
        </w:rPr>
        <w:t xml:space="preserve"> quejas</w:t>
      </w:r>
      <w:r w:rsidRPr="00FA0403">
        <w:rPr>
          <w:rFonts w:ascii="Times New Roman" w:hAnsi="Times New Roman" w:cs="Times New Roman"/>
          <w:sz w:val="22"/>
          <w:szCs w:val="22"/>
        </w:rPr>
        <w:t xml:space="preserve">; </w:t>
      </w:r>
      <w:r w:rsidR="00BD6A27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98</w:t>
      </w:r>
      <w:r w:rsidRPr="00FA0403">
        <w:rPr>
          <w:rFonts w:ascii="Times New Roman" w:hAnsi="Times New Roman" w:cs="Times New Roman"/>
          <w:sz w:val="22"/>
          <w:szCs w:val="22"/>
        </w:rPr>
        <w:t xml:space="preserve"> resueltas </w:t>
      </w:r>
      <w:r w:rsidR="00064051" w:rsidRPr="00FA0403">
        <w:rPr>
          <w:rFonts w:ascii="Times New Roman" w:hAnsi="Times New Roman" w:cs="Times New Roman"/>
          <w:sz w:val="22"/>
          <w:szCs w:val="22"/>
        </w:rPr>
        <w:t>por mediación</w:t>
      </w:r>
      <w:r w:rsidRPr="00FA0403">
        <w:rPr>
          <w:rFonts w:ascii="Times New Roman" w:hAnsi="Times New Roman" w:cs="Times New Roman"/>
          <w:sz w:val="22"/>
          <w:szCs w:val="22"/>
        </w:rPr>
        <w:t xml:space="preserve"> y </w:t>
      </w:r>
      <w:r w:rsidR="008B1E40" w:rsidRPr="00FA0403">
        <w:rPr>
          <w:rFonts w:ascii="Times New Roman" w:hAnsi="Times New Roman" w:cs="Times New Roman"/>
          <w:sz w:val="22"/>
          <w:szCs w:val="22"/>
        </w:rPr>
        <w:t>780</w:t>
      </w:r>
      <w:r w:rsidRPr="00FA0403">
        <w:rPr>
          <w:rFonts w:ascii="Times New Roman" w:hAnsi="Times New Roman" w:cs="Times New Roman"/>
          <w:sz w:val="22"/>
          <w:szCs w:val="22"/>
        </w:rPr>
        <w:t xml:space="preserve"> por conciliación. Asimismo, se brindaron asesorías y </w:t>
      </w:r>
      <w:r w:rsidR="00A220E9" w:rsidRPr="00FA0403">
        <w:rPr>
          <w:rFonts w:ascii="Times New Roman" w:hAnsi="Times New Roman" w:cs="Times New Roman"/>
          <w:sz w:val="22"/>
          <w:szCs w:val="22"/>
        </w:rPr>
        <w:t xml:space="preserve">se atendieron </w:t>
      </w:r>
      <w:r w:rsidRPr="00FA0403">
        <w:rPr>
          <w:rFonts w:ascii="Times New Roman" w:hAnsi="Times New Roman" w:cs="Times New Roman"/>
          <w:sz w:val="22"/>
          <w:szCs w:val="22"/>
        </w:rPr>
        <w:t xml:space="preserve">consultas a </w:t>
      </w:r>
      <w:r w:rsidR="002004C1" w:rsidRPr="00FA0403">
        <w:rPr>
          <w:rFonts w:ascii="Times New Roman" w:hAnsi="Times New Roman" w:cs="Times New Roman"/>
          <w:sz w:val="22"/>
          <w:szCs w:val="22"/>
        </w:rPr>
        <w:t>1</w:t>
      </w:r>
      <w:r w:rsidR="008B1E40" w:rsidRPr="00FA0403">
        <w:rPr>
          <w:rFonts w:ascii="Times New Roman" w:hAnsi="Times New Roman" w:cs="Times New Roman"/>
          <w:sz w:val="22"/>
          <w:szCs w:val="22"/>
        </w:rPr>
        <w:t>1</w:t>
      </w:r>
      <w:r w:rsidR="002004C1" w:rsidRPr="00FA0403">
        <w:rPr>
          <w:rFonts w:ascii="Times New Roman" w:hAnsi="Times New Roman" w:cs="Times New Roman"/>
          <w:sz w:val="22"/>
          <w:szCs w:val="22"/>
        </w:rPr>
        <w:t>,</w:t>
      </w:r>
      <w:r w:rsidR="008B1E40" w:rsidRPr="00FA0403">
        <w:rPr>
          <w:rFonts w:ascii="Times New Roman" w:hAnsi="Times New Roman" w:cs="Times New Roman"/>
          <w:sz w:val="22"/>
          <w:szCs w:val="22"/>
        </w:rPr>
        <w:t>758</w:t>
      </w:r>
      <w:r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BD6A27" w:rsidRPr="00FA0403">
        <w:rPr>
          <w:rFonts w:ascii="Times New Roman" w:hAnsi="Times New Roman" w:cs="Times New Roman"/>
          <w:sz w:val="22"/>
          <w:szCs w:val="22"/>
        </w:rPr>
        <w:t>tarjetahabientes</w:t>
      </w:r>
      <w:r w:rsidRPr="00FA0403">
        <w:rPr>
          <w:rFonts w:ascii="Times New Roman" w:hAnsi="Times New Roman" w:cs="Times New Roman"/>
          <w:sz w:val="22"/>
          <w:szCs w:val="22"/>
        </w:rPr>
        <w:t xml:space="preserve">, como se puede observar en el cuadro siguiente: </w:t>
      </w:r>
    </w:p>
    <w:p w14:paraId="0C0548F2" w14:textId="086E26D4" w:rsidR="009A69BC" w:rsidRPr="00FA0403" w:rsidRDefault="009A69BC" w:rsidP="00B2098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CC389C" w14:textId="0CBC2FE0" w:rsidR="00B2098F" w:rsidRPr="00FA0403" w:rsidRDefault="00B2098F" w:rsidP="004F4B95">
      <w:pPr>
        <w:pStyle w:val="Tablas"/>
      </w:pPr>
      <w:bookmarkStart w:id="49" w:name="_Toc216797455"/>
      <w:r w:rsidRPr="00FA0403">
        <w:t xml:space="preserve">Cuadro </w:t>
      </w:r>
      <w:r w:rsidR="00F92753">
        <w:t xml:space="preserve">29:  </w:t>
      </w:r>
      <w:r w:rsidRPr="00FA0403">
        <w:t>Resolución de Quejas</w:t>
      </w:r>
      <w:r w:rsidR="002D7066">
        <w:t>,</w:t>
      </w:r>
      <w:r w:rsidR="00F92753">
        <w:t xml:space="preserve"> </w:t>
      </w:r>
      <w:r w:rsidR="00590048">
        <w:t>e</w:t>
      </w:r>
      <w:r w:rsidRPr="00FA0403">
        <w:t xml:space="preserve">nero – </w:t>
      </w:r>
      <w:r w:rsidR="00590048" w:rsidRPr="00FA0403">
        <w:t>noviembre</w:t>
      </w:r>
      <w:r w:rsidRPr="00FA0403">
        <w:t xml:space="preserve"> 2025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884"/>
      </w:tblGrid>
      <w:tr w:rsidR="00A26DEF" w:rsidRPr="004E4B23" w14:paraId="60BA3D4E" w14:textId="77777777" w:rsidTr="00BA4CAF">
        <w:trPr>
          <w:trHeight w:val="340"/>
        </w:trPr>
        <w:tc>
          <w:tcPr>
            <w:tcW w:w="1868" w:type="pct"/>
            <w:vMerge w:val="restart"/>
            <w:shd w:val="clear" w:color="auto" w:fill="8EAADB" w:themeFill="accent1" w:themeFillTint="99"/>
            <w:vAlign w:val="center"/>
            <w:hideMark/>
          </w:tcPr>
          <w:p w14:paraId="61FCF60D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LINEA DE TRABAJO</w:t>
            </w:r>
          </w:p>
        </w:tc>
        <w:tc>
          <w:tcPr>
            <w:tcW w:w="3132" w:type="pct"/>
            <w:vMerge w:val="restart"/>
            <w:shd w:val="clear" w:color="auto" w:fill="8EAADB" w:themeFill="accent1" w:themeFillTint="99"/>
            <w:vAlign w:val="center"/>
            <w:hideMark/>
          </w:tcPr>
          <w:p w14:paraId="4078434A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                ENERO - NOVIEMBRE</w:t>
            </w:r>
          </w:p>
        </w:tc>
      </w:tr>
      <w:tr w:rsidR="00A26DEF" w:rsidRPr="004E4B23" w14:paraId="1D8F5B72" w14:textId="77777777" w:rsidTr="00BA4CAF">
        <w:trPr>
          <w:trHeight w:val="340"/>
        </w:trPr>
        <w:tc>
          <w:tcPr>
            <w:tcW w:w="1868" w:type="pct"/>
            <w:vMerge/>
            <w:shd w:val="clear" w:color="auto" w:fill="8EAADB" w:themeFill="accent1" w:themeFillTint="99"/>
            <w:vAlign w:val="center"/>
            <w:hideMark/>
          </w:tcPr>
          <w:p w14:paraId="63CEC7DA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3132" w:type="pct"/>
            <w:vMerge/>
            <w:shd w:val="clear" w:color="auto" w:fill="8EAADB" w:themeFill="accent1" w:themeFillTint="99"/>
            <w:vAlign w:val="center"/>
            <w:hideMark/>
          </w:tcPr>
          <w:p w14:paraId="0ED5F354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A26DEF" w:rsidRPr="004E4B23" w14:paraId="0B9631E1" w14:textId="77777777" w:rsidTr="00BA4CAF">
        <w:trPr>
          <w:trHeight w:val="340"/>
        </w:trPr>
        <w:tc>
          <w:tcPr>
            <w:tcW w:w="1868" w:type="pct"/>
            <w:shd w:val="clear" w:color="auto" w:fill="auto"/>
            <w:vAlign w:val="center"/>
            <w:hideMark/>
          </w:tcPr>
          <w:p w14:paraId="1FB3E348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Mediaciones 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14:paraId="532303D7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198</w:t>
            </w:r>
          </w:p>
        </w:tc>
      </w:tr>
      <w:tr w:rsidR="00A26DEF" w:rsidRPr="004E4B23" w14:paraId="19D769AD" w14:textId="77777777" w:rsidTr="00BA4CAF">
        <w:trPr>
          <w:trHeight w:val="340"/>
        </w:trPr>
        <w:tc>
          <w:tcPr>
            <w:tcW w:w="1868" w:type="pct"/>
            <w:shd w:val="clear" w:color="auto" w:fill="auto"/>
            <w:vAlign w:val="center"/>
            <w:hideMark/>
          </w:tcPr>
          <w:p w14:paraId="1C042BEE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Conciliaciones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14:paraId="6716085C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780</w:t>
            </w:r>
          </w:p>
        </w:tc>
      </w:tr>
      <w:tr w:rsidR="00A26DEF" w:rsidRPr="004E4B23" w14:paraId="18589EED" w14:textId="77777777" w:rsidTr="00BA4CAF">
        <w:trPr>
          <w:trHeight w:val="340"/>
        </w:trPr>
        <w:tc>
          <w:tcPr>
            <w:tcW w:w="1868" w:type="pct"/>
            <w:shd w:val="clear" w:color="auto" w:fill="8EAADB" w:themeFill="accent1" w:themeFillTint="99"/>
            <w:vAlign w:val="center"/>
            <w:hideMark/>
          </w:tcPr>
          <w:p w14:paraId="77FDE324" w14:textId="77777777" w:rsidR="00A26DEF" w:rsidRPr="004E4B23" w:rsidRDefault="00A26DEF" w:rsidP="004E4B2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TOTAL</w:t>
            </w:r>
          </w:p>
        </w:tc>
        <w:tc>
          <w:tcPr>
            <w:tcW w:w="3132" w:type="pct"/>
            <w:shd w:val="clear" w:color="auto" w:fill="8EAADB" w:themeFill="accent1" w:themeFillTint="99"/>
            <w:vAlign w:val="center"/>
            <w:hideMark/>
          </w:tcPr>
          <w:p w14:paraId="61FFDF5A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978</w:t>
            </w:r>
          </w:p>
        </w:tc>
      </w:tr>
      <w:tr w:rsidR="00A26DEF" w:rsidRPr="004E4B23" w14:paraId="2884D19C" w14:textId="77777777" w:rsidTr="00BA4CAF">
        <w:trPr>
          <w:trHeight w:val="340"/>
        </w:trPr>
        <w:tc>
          <w:tcPr>
            <w:tcW w:w="1868" w:type="pct"/>
            <w:shd w:val="clear" w:color="auto" w:fill="auto"/>
            <w:vAlign w:val="center"/>
            <w:hideMark/>
          </w:tcPr>
          <w:p w14:paraId="1AD5A153" w14:textId="77777777" w:rsidR="00A26DEF" w:rsidRPr="004E4B23" w:rsidRDefault="00A26DEF" w:rsidP="004E4B23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 xml:space="preserve">Asesorías y Consultas </w:t>
            </w:r>
          </w:p>
        </w:tc>
        <w:tc>
          <w:tcPr>
            <w:tcW w:w="3132" w:type="pct"/>
            <w:shd w:val="clear" w:color="auto" w:fill="auto"/>
            <w:noWrap/>
            <w:vAlign w:val="center"/>
            <w:hideMark/>
          </w:tcPr>
          <w:p w14:paraId="109A9B9C" w14:textId="77777777" w:rsidR="00A26DEF" w:rsidRPr="004E4B23" w:rsidRDefault="00A26DEF" w:rsidP="004E4B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4E4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11,758</w:t>
            </w:r>
          </w:p>
        </w:tc>
      </w:tr>
    </w:tbl>
    <w:p w14:paraId="76962A00" w14:textId="5BDE5D7F" w:rsidR="002121E9" w:rsidRPr="004E4B23" w:rsidRDefault="001F0A8E" w:rsidP="00495E7D">
      <w:pPr>
        <w:rPr>
          <w:rFonts w:ascii="Times New Roman" w:hAnsi="Times New Roman" w:cs="Times New Roman"/>
          <w:sz w:val="18"/>
          <w:szCs w:val="18"/>
        </w:rPr>
      </w:pPr>
      <w:r w:rsidRPr="004E4B23">
        <w:rPr>
          <w:rFonts w:ascii="Times New Roman" w:hAnsi="Times New Roman" w:cs="Times New Roman"/>
          <w:sz w:val="18"/>
          <w:szCs w:val="18"/>
        </w:rPr>
        <w:t>Fuente: Departamento de Verificación y Vigilancia (</w:t>
      </w:r>
      <w:r w:rsidR="00495E7D" w:rsidRPr="004E4B23">
        <w:rPr>
          <w:rFonts w:ascii="Times New Roman" w:hAnsi="Times New Roman" w:cs="Times New Roman"/>
          <w:sz w:val="18"/>
          <w:szCs w:val="18"/>
        </w:rPr>
        <w:t>UPSF</w:t>
      </w:r>
      <w:r w:rsidRPr="004E4B23">
        <w:rPr>
          <w:rFonts w:ascii="Times New Roman" w:hAnsi="Times New Roman" w:cs="Times New Roman"/>
          <w:sz w:val="18"/>
          <w:szCs w:val="18"/>
        </w:rPr>
        <w:t>)</w:t>
      </w:r>
    </w:p>
    <w:p w14:paraId="63E340AB" w14:textId="77777777" w:rsidR="00934E07" w:rsidRDefault="00934E07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75D722DD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0B132844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79E9058A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564404E6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51234E86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50BBA9DA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2E210348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9A317FD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93470C4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4ED0CE5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50A1DCEF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2387179A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61658CD7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80C761E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2E118F1F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257A6496" w14:textId="77777777" w:rsidR="00684E38" w:rsidRDefault="00684E38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166B257" w14:textId="77777777" w:rsidR="00795387" w:rsidRPr="00FA0403" w:rsidRDefault="00795387" w:rsidP="00495E7D">
      <w:pPr>
        <w:rPr>
          <w:rFonts w:ascii="Times New Roman" w:hAnsi="Times New Roman" w:cs="Times New Roman"/>
          <w:b/>
          <w:sz w:val="22"/>
          <w:szCs w:val="22"/>
        </w:rPr>
      </w:pPr>
    </w:p>
    <w:p w14:paraId="392AF392" w14:textId="32C2DF68" w:rsidR="001E6CBB" w:rsidRPr="00FA0403" w:rsidRDefault="001E6CBB" w:rsidP="004F4B95">
      <w:pPr>
        <w:pStyle w:val="Ttulo1"/>
        <w:rPr>
          <w:rFonts w:eastAsiaTheme="minorHAnsi"/>
        </w:rPr>
      </w:pPr>
      <w:bookmarkStart w:id="50" w:name="_Toc216788750"/>
      <w:r w:rsidRPr="00FA0403">
        <w:rPr>
          <w:rFonts w:eastAsiaTheme="minorHAnsi"/>
        </w:rPr>
        <w:t>Recuperaciones a favor del Tarjetahabiente</w:t>
      </w:r>
      <w:bookmarkEnd w:id="50"/>
      <w:r w:rsidR="007A39F0">
        <w:rPr>
          <w:rFonts w:eastAsiaTheme="minorHAnsi"/>
        </w:rPr>
        <w:t xml:space="preserve"> </w:t>
      </w:r>
    </w:p>
    <w:p w14:paraId="3FCEF9C9" w14:textId="77777777" w:rsidR="001E6CBB" w:rsidRPr="00FA0403" w:rsidRDefault="001E6CBB" w:rsidP="001E6CB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5186CF" w14:textId="1817C396" w:rsidR="001E6CBB" w:rsidRPr="00FA0403" w:rsidRDefault="00BD6A27" w:rsidP="001E6CBB">
      <w:pPr>
        <w:jc w:val="both"/>
        <w:rPr>
          <w:rFonts w:ascii="Times New Roman" w:hAnsi="Times New Roman" w:cs="Times New Roman"/>
          <w:sz w:val="22"/>
          <w:szCs w:val="22"/>
        </w:rPr>
      </w:pPr>
      <w:r w:rsidRPr="00FA0403">
        <w:rPr>
          <w:rFonts w:ascii="Times New Roman" w:hAnsi="Times New Roman" w:cs="Times New Roman"/>
          <w:sz w:val="22"/>
          <w:szCs w:val="22"/>
        </w:rPr>
        <w:t xml:space="preserve">Derivado </w:t>
      </w:r>
      <w:r w:rsidR="001E6CBB" w:rsidRPr="00FA0403">
        <w:rPr>
          <w:rFonts w:ascii="Times New Roman" w:hAnsi="Times New Roman" w:cs="Times New Roman"/>
          <w:sz w:val="22"/>
          <w:szCs w:val="22"/>
        </w:rPr>
        <w:t>de la intervenci</w:t>
      </w:r>
      <w:r w:rsidRPr="00FA0403">
        <w:rPr>
          <w:rFonts w:ascii="Times New Roman" w:hAnsi="Times New Roman" w:cs="Times New Roman"/>
          <w:sz w:val="22"/>
          <w:szCs w:val="22"/>
        </w:rPr>
        <w:t>ó</w:t>
      </w:r>
      <w:r w:rsidR="001E6CBB" w:rsidRPr="00FA0403">
        <w:rPr>
          <w:rFonts w:ascii="Times New Roman" w:hAnsi="Times New Roman" w:cs="Times New Roman"/>
          <w:sz w:val="22"/>
          <w:szCs w:val="22"/>
        </w:rPr>
        <w:t xml:space="preserve">n de la Unidad de Protección de Servicios Financieros, se recuperaron a favor de los tarjetahabientes, la cantidad de </w:t>
      </w:r>
      <w:r w:rsidR="006C46C2" w:rsidRPr="00FA0403">
        <w:rPr>
          <w:rFonts w:ascii="Times New Roman" w:hAnsi="Times New Roman" w:cs="Times New Roman"/>
          <w:sz w:val="22"/>
          <w:szCs w:val="22"/>
        </w:rPr>
        <w:t>cuatro</w:t>
      </w:r>
      <w:r w:rsidR="00A92555" w:rsidRPr="00FA0403">
        <w:rPr>
          <w:rFonts w:ascii="Times New Roman" w:hAnsi="Times New Roman" w:cs="Times New Roman"/>
          <w:sz w:val="22"/>
          <w:szCs w:val="22"/>
        </w:rPr>
        <w:t xml:space="preserve"> mill</w:t>
      </w:r>
      <w:r w:rsidR="00421EBE" w:rsidRPr="00FA0403">
        <w:rPr>
          <w:rFonts w:ascii="Times New Roman" w:hAnsi="Times New Roman" w:cs="Times New Roman"/>
          <w:sz w:val="22"/>
          <w:szCs w:val="22"/>
        </w:rPr>
        <w:t>ones</w:t>
      </w:r>
      <w:r w:rsidR="00A9255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6C46C2" w:rsidRPr="00FA0403">
        <w:rPr>
          <w:rFonts w:ascii="Times New Roman" w:hAnsi="Times New Roman" w:cs="Times New Roman"/>
          <w:sz w:val="22"/>
          <w:szCs w:val="22"/>
        </w:rPr>
        <w:t>ciento cincuenta y cuatro</w:t>
      </w:r>
      <w:r w:rsidR="00A219DE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064051" w:rsidRPr="00FA0403">
        <w:rPr>
          <w:rFonts w:ascii="Times New Roman" w:hAnsi="Times New Roman" w:cs="Times New Roman"/>
          <w:sz w:val="22"/>
          <w:szCs w:val="22"/>
        </w:rPr>
        <w:t>mil</w:t>
      </w:r>
      <w:r w:rsidR="00A9255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6C46C2" w:rsidRPr="00FA0403">
        <w:rPr>
          <w:rFonts w:ascii="Times New Roman" w:hAnsi="Times New Roman" w:cs="Times New Roman"/>
          <w:sz w:val="22"/>
          <w:szCs w:val="22"/>
        </w:rPr>
        <w:t xml:space="preserve">ochenta y cinco </w:t>
      </w:r>
      <w:r w:rsidR="00A33F34" w:rsidRPr="00FA0403">
        <w:rPr>
          <w:rFonts w:ascii="Times New Roman" w:hAnsi="Times New Roman" w:cs="Times New Roman"/>
          <w:sz w:val="22"/>
          <w:szCs w:val="22"/>
        </w:rPr>
        <w:t>quetzales</w:t>
      </w:r>
      <w:r w:rsidR="00A92555" w:rsidRPr="00FA0403">
        <w:rPr>
          <w:rFonts w:ascii="Times New Roman" w:hAnsi="Times New Roman" w:cs="Times New Roman"/>
          <w:sz w:val="22"/>
          <w:szCs w:val="22"/>
        </w:rPr>
        <w:t xml:space="preserve"> con </w:t>
      </w:r>
      <w:r w:rsidR="006C46C2" w:rsidRPr="00FA0403">
        <w:rPr>
          <w:rFonts w:ascii="Times New Roman" w:hAnsi="Times New Roman" w:cs="Times New Roman"/>
          <w:sz w:val="22"/>
          <w:szCs w:val="22"/>
        </w:rPr>
        <w:t>sesenta y ocho</w:t>
      </w:r>
      <w:r w:rsidR="00A92555" w:rsidRPr="00FA0403">
        <w:rPr>
          <w:rFonts w:ascii="Times New Roman" w:hAnsi="Times New Roman" w:cs="Times New Roman"/>
          <w:sz w:val="22"/>
          <w:szCs w:val="22"/>
        </w:rPr>
        <w:t xml:space="preserve"> </w:t>
      </w:r>
      <w:r w:rsidR="001E6CBB" w:rsidRPr="00FA0403">
        <w:rPr>
          <w:rFonts w:ascii="Times New Roman" w:hAnsi="Times New Roman" w:cs="Times New Roman"/>
          <w:sz w:val="22"/>
          <w:szCs w:val="22"/>
        </w:rPr>
        <w:t>centavos (Q.</w:t>
      </w:r>
      <w:r w:rsidR="006C46C2" w:rsidRPr="00FA0403">
        <w:rPr>
          <w:rFonts w:ascii="Times New Roman" w:hAnsi="Times New Roman" w:cs="Times New Roman"/>
          <w:sz w:val="22"/>
          <w:szCs w:val="22"/>
        </w:rPr>
        <w:t>4</w:t>
      </w:r>
      <w:r w:rsidR="000926D9" w:rsidRPr="00FA0403">
        <w:rPr>
          <w:rFonts w:ascii="Times New Roman" w:hAnsi="Times New Roman" w:cs="Times New Roman"/>
          <w:sz w:val="22"/>
          <w:szCs w:val="22"/>
        </w:rPr>
        <w:t>,</w:t>
      </w:r>
      <w:r w:rsidR="006C46C2" w:rsidRPr="00FA0403">
        <w:rPr>
          <w:rFonts w:ascii="Times New Roman" w:hAnsi="Times New Roman" w:cs="Times New Roman"/>
          <w:sz w:val="22"/>
          <w:szCs w:val="22"/>
        </w:rPr>
        <w:t>154</w:t>
      </w:r>
      <w:r w:rsidR="00696C49" w:rsidRPr="00FA0403">
        <w:rPr>
          <w:rFonts w:ascii="Times New Roman" w:hAnsi="Times New Roman" w:cs="Times New Roman"/>
          <w:sz w:val="22"/>
          <w:szCs w:val="22"/>
        </w:rPr>
        <w:t>,0</w:t>
      </w:r>
      <w:r w:rsidR="006C46C2" w:rsidRPr="00FA0403">
        <w:rPr>
          <w:rFonts w:ascii="Times New Roman" w:hAnsi="Times New Roman" w:cs="Times New Roman"/>
          <w:sz w:val="22"/>
          <w:szCs w:val="22"/>
        </w:rPr>
        <w:t>85</w:t>
      </w:r>
      <w:r w:rsidR="00696C49" w:rsidRPr="00FA0403">
        <w:rPr>
          <w:rFonts w:ascii="Times New Roman" w:hAnsi="Times New Roman" w:cs="Times New Roman"/>
          <w:sz w:val="22"/>
          <w:szCs w:val="22"/>
        </w:rPr>
        <w:t>.</w:t>
      </w:r>
      <w:r w:rsidR="006C46C2" w:rsidRPr="00FA0403">
        <w:rPr>
          <w:rFonts w:ascii="Times New Roman" w:hAnsi="Times New Roman" w:cs="Times New Roman"/>
          <w:sz w:val="22"/>
          <w:szCs w:val="22"/>
        </w:rPr>
        <w:t>68</w:t>
      </w:r>
      <w:r w:rsidR="001E6CBB" w:rsidRPr="00FA0403">
        <w:rPr>
          <w:rFonts w:ascii="Times New Roman" w:hAnsi="Times New Roman" w:cs="Times New Roman"/>
          <w:sz w:val="22"/>
          <w:szCs w:val="22"/>
        </w:rPr>
        <w:t>), según se detalla en el cuadro siguiente:</w:t>
      </w:r>
    </w:p>
    <w:p w14:paraId="3089FFE6" w14:textId="0333CA18" w:rsidR="001E6CBB" w:rsidRDefault="001E6CBB" w:rsidP="007C1B5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B1C4D4" w14:textId="6F92821F" w:rsidR="007C1B5A" w:rsidRPr="004F4B95" w:rsidRDefault="007C1B5A" w:rsidP="004F4B95">
      <w:pPr>
        <w:pStyle w:val="Tablas"/>
      </w:pPr>
      <w:bookmarkStart w:id="51" w:name="_Toc216797456"/>
      <w:r w:rsidRPr="004F4B95">
        <w:t xml:space="preserve">Cuadro </w:t>
      </w:r>
      <w:r w:rsidR="00F92753" w:rsidRPr="004F4B95">
        <w:t>30: Recuperaciones a favor de los Tarjetahabientes</w:t>
      </w:r>
      <w:r w:rsidR="00590048">
        <w:t>, enero a noviembre 2025</w:t>
      </w:r>
      <w:bookmarkEnd w:id="5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F92753" w:rsidRPr="00F92753" w14:paraId="28AAEDFC" w14:textId="77777777" w:rsidTr="00CA4355">
        <w:trPr>
          <w:trHeight w:val="34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763C0D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AEAB6AF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6F29FF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F92753" w:rsidRPr="00F92753" w14:paraId="6216AC66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A7ED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FE98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02B4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F92753" w:rsidRPr="00F92753" w14:paraId="5D1AA292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AC62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196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D3FE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256,986.05</w:t>
            </w:r>
          </w:p>
        </w:tc>
      </w:tr>
      <w:tr w:rsidR="00F92753" w:rsidRPr="00F92753" w14:paraId="45EB7759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9913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08C462B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Enero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06CB869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256,986.05</w:t>
            </w:r>
          </w:p>
        </w:tc>
      </w:tr>
      <w:tr w:rsidR="00F92753" w:rsidRPr="00F92753" w14:paraId="08D8664D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7E0D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A811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B05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42AC4A73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5663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F991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1534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309,517.23</w:t>
            </w:r>
          </w:p>
        </w:tc>
      </w:tr>
      <w:tr w:rsidR="00F92753" w:rsidRPr="00F92753" w14:paraId="1D7C799D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075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F6B6AD0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Febrero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6ED6D07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309,517.23</w:t>
            </w:r>
          </w:p>
        </w:tc>
      </w:tr>
      <w:tr w:rsidR="00F92753" w:rsidRPr="00F92753" w14:paraId="1917F44C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4E3B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13D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28E7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57F272B3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BAEF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4CEB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DB5D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367,638.57</w:t>
            </w:r>
          </w:p>
        </w:tc>
      </w:tr>
      <w:tr w:rsidR="00F92753" w:rsidRPr="00F92753" w14:paraId="58C81E03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6DF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5A5145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Marzo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909672D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367,638.57</w:t>
            </w:r>
          </w:p>
        </w:tc>
      </w:tr>
      <w:tr w:rsidR="00F92753" w:rsidRPr="00F92753" w14:paraId="57D466FC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2BD0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Abril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926B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42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041EA13D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B8F4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F3A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12D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536,164.44</w:t>
            </w:r>
          </w:p>
        </w:tc>
      </w:tr>
      <w:tr w:rsidR="00F92753" w:rsidRPr="00F92753" w14:paraId="3AE20C9C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5550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801A1B9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Abril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1A610DE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536,164.44</w:t>
            </w:r>
          </w:p>
        </w:tc>
      </w:tr>
      <w:tr w:rsidR="00F92753" w:rsidRPr="00F92753" w14:paraId="486E8016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F19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Mayo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5E10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D8E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65B113C3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9B1E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A08B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DBC0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714,736.09</w:t>
            </w:r>
          </w:p>
        </w:tc>
      </w:tr>
      <w:tr w:rsidR="00F92753" w:rsidRPr="00F92753" w14:paraId="712CEB06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16D3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C888792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Mayo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CC5F3F6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714,736.09</w:t>
            </w:r>
          </w:p>
        </w:tc>
      </w:tr>
      <w:tr w:rsidR="00F92753" w:rsidRPr="00F92753" w14:paraId="352CA049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2A08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Junio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61A0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2677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76840FD1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06E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729F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C4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264,608.95</w:t>
            </w:r>
          </w:p>
        </w:tc>
      </w:tr>
      <w:tr w:rsidR="00F92753" w:rsidRPr="00F92753" w14:paraId="4C5C81B9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CB2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D3CA799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Junio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AF677BE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264,608.95</w:t>
            </w:r>
          </w:p>
        </w:tc>
      </w:tr>
      <w:tr w:rsidR="00F92753" w:rsidRPr="00F92753" w14:paraId="654FC17F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7DE9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Julio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161A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81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F92753" w:rsidRPr="00F92753" w14:paraId="433FB7E7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FF80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AD97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3667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485,465.70</w:t>
            </w:r>
          </w:p>
        </w:tc>
      </w:tr>
      <w:tr w:rsidR="00F92753" w:rsidRPr="00F92753" w14:paraId="19BAD840" w14:textId="77777777" w:rsidTr="00CA4355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261" w14:textId="77777777" w:rsidR="00F92753" w:rsidRPr="00F92753" w:rsidRDefault="00F92753" w:rsidP="00CA4355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7256ECB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Julio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2184FD1" w14:textId="77777777" w:rsidR="00F92753" w:rsidRPr="00F92753" w:rsidRDefault="00F92753" w:rsidP="00CA43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F92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485,465.70</w:t>
            </w:r>
          </w:p>
        </w:tc>
      </w:tr>
    </w:tbl>
    <w:p w14:paraId="132A773D" w14:textId="77777777" w:rsidR="0021451B" w:rsidRDefault="0021451B" w:rsidP="002D7066">
      <w:pPr>
        <w:rPr>
          <w:rFonts w:ascii="Arial" w:hAnsi="Arial" w:cs="Arial"/>
          <w:sz w:val="16"/>
          <w:szCs w:val="16"/>
        </w:rPr>
      </w:pPr>
    </w:p>
    <w:p w14:paraId="28CB185A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3A2C0BE5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5F189FAA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25DC866C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43CF0A90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72C38E2F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5A84A09A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p w14:paraId="2815104A" w14:textId="77777777" w:rsidR="00684E38" w:rsidRDefault="00684E38" w:rsidP="002D7066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3662"/>
        <w:gridCol w:w="4222"/>
      </w:tblGrid>
      <w:tr w:rsidR="0021451B" w:rsidRPr="0021451B" w14:paraId="62A24372" w14:textId="77777777" w:rsidTr="00684E38">
        <w:trPr>
          <w:trHeight w:val="34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801C3C3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MES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6BFF13F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DESCRIPCIÓN</w:t>
            </w:r>
          </w:p>
        </w:tc>
        <w:tc>
          <w:tcPr>
            <w:tcW w:w="2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C96DCD3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UNIDAD DE PROTECCIÓN DE SERVICIOS FINANCIEROS</w:t>
            </w:r>
          </w:p>
        </w:tc>
      </w:tr>
      <w:tr w:rsidR="0021451B" w:rsidRPr="0021451B" w14:paraId="310409D7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607B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Agosto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1006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8A4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  <w:t> </w:t>
            </w:r>
          </w:p>
        </w:tc>
      </w:tr>
      <w:tr w:rsidR="0021451B" w:rsidRPr="0021451B" w14:paraId="34BC81D4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43EB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346F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6AA8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330,712.47</w:t>
            </w:r>
          </w:p>
        </w:tc>
      </w:tr>
      <w:tr w:rsidR="0021451B" w:rsidRPr="0021451B" w14:paraId="0DA2B113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70D7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A6EC53D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Agosto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691ACE5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330,712.47</w:t>
            </w:r>
          </w:p>
        </w:tc>
      </w:tr>
      <w:tr w:rsidR="0021451B" w:rsidRPr="0021451B" w14:paraId="7262B9ED" w14:textId="77777777" w:rsidTr="00684E38">
        <w:trPr>
          <w:trHeight w:val="340"/>
        </w:trPr>
        <w:tc>
          <w:tcPr>
            <w:tcW w:w="27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DE40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Septiembre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0782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21451B" w:rsidRPr="0021451B" w14:paraId="2E4E46A6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9FAC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7CF2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4C98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240,612.19</w:t>
            </w:r>
          </w:p>
        </w:tc>
      </w:tr>
      <w:tr w:rsidR="0021451B" w:rsidRPr="0021451B" w14:paraId="4A90E02D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2992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0BC82A7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Septiembre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AED3EDA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240,612.19</w:t>
            </w:r>
          </w:p>
        </w:tc>
      </w:tr>
      <w:tr w:rsidR="0021451B" w:rsidRPr="0021451B" w14:paraId="4A6DB8FB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F3EB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Octubre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427A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6CB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21451B" w:rsidRPr="0021451B" w14:paraId="3224B899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49DA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13C7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7C33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37,577.16</w:t>
            </w:r>
          </w:p>
        </w:tc>
      </w:tr>
      <w:tr w:rsidR="0021451B" w:rsidRPr="0021451B" w14:paraId="083C2A1D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A07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0883CD39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Octubre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4364AC8B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37,577.16</w:t>
            </w:r>
          </w:p>
        </w:tc>
      </w:tr>
      <w:tr w:rsidR="0021451B" w:rsidRPr="0021451B" w14:paraId="636A4EAB" w14:textId="77777777" w:rsidTr="00684E38">
        <w:trPr>
          <w:trHeight w:val="340"/>
        </w:trPr>
        <w:tc>
          <w:tcPr>
            <w:tcW w:w="275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574E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Noviembre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0ABA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21451B" w:rsidRPr="0021451B" w14:paraId="27C13814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F2CE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85E6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  <w:t>Reembolso monetario / Acreditación a cuenta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CA2E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  <w:t>610,066.83</w:t>
            </w:r>
          </w:p>
        </w:tc>
      </w:tr>
      <w:tr w:rsidR="0021451B" w:rsidRPr="0021451B" w14:paraId="7DCD16F3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2A5D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E12F61E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s-MX" w:eastAsia="es-MX"/>
              </w:rPr>
              <w:t>Noviembre</w:t>
            </w:r>
          </w:p>
        </w:tc>
        <w:tc>
          <w:tcPr>
            <w:tcW w:w="2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878CFE9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610,066.83</w:t>
            </w:r>
          </w:p>
        </w:tc>
      </w:tr>
      <w:tr w:rsidR="0021451B" w:rsidRPr="0021451B" w14:paraId="562B69D7" w14:textId="77777777" w:rsidTr="00684E38">
        <w:trPr>
          <w:trHeight w:val="340"/>
        </w:trPr>
        <w:tc>
          <w:tcPr>
            <w:tcW w:w="80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B67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lang w:val="es-MX" w:eastAsia="es-MX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2376" w14:textId="77777777" w:rsidR="0021451B" w:rsidRPr="0021451B" w:rsidRDefault="0021451B" w:rsidP="0021451B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  <w:tc>
          <w:tcPr>
            <w:tcW w:w="22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45ED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 </w:t>
            </w:r>
          </w:p>
        </w:tc>
      </w:tr>
      <w:tr w:rsidR="0021451B" w:rsidRPr="0021451B" w14:paraId="433C9880" w14:textId="77777777" w:rsidTr="00684E38">
        <w:trPr>
          <w:trHeight w:val="340"/>
        </w:trPr>
        <w:tc>
          <w:tcPr>
            <w:tcW w:w="275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A8847A7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s-MX" w:eastAsia="es-MX"/>
              </w:rPr>
              <w:t>TOTAL</w:t>
            </w:r>
          </w:p>
        </w:tc>
        <w:tc>
          <w:tcPr>
            <w:tcW w:w="22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931B6BF" w14:textId="77777777" w:rsidR="0021451B" w:rsidRPr="0021451B" w:rsidRDefault="0021451B" w:rsidP="002145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2145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 w:eastAsia="es-MX"/>
              </w:rPr>
              <w:t>4,154,085.68</w:t>
            </w:r>
          </w:p>
        </w:tc>
      </w:tr>
    </w:tbl>
    <w:p w14:paraId="44CFAE43" w14:textId="68CC48DB" w:rsidR="001F0A8E" w:rsidRDefault="00795387" w:rsidP="00795387">
      <w:pPr>
        <w:rPr>
          <w:rFonts w:ascii="Times New Roman" w:hAnsi="Times New Roman" w:cs="Times New Roman"/>
          <w:b/>
        </w:rPr>
      </w:pPr>
      <w:r w:rsidRPr="00795387">
        <w:rPr>
          <w:rFonts w:ascii="Arial" w:hAnsi="Arial" w:cs="Arial"/>
          <w:sz w:val="16"/>
          <w:szCs w:val="16"/>
        </w:rPr>
        <w:t xml:space="preserve">Fuente: Departamentos de Verificación y Vigilancia (UPSF) </w:t>
      </w:r>
      <w:r w:rsidR="003E5F47">
        <w:rPr>
          <w:rFonts w:ascii="Arial" w:hAnsi="Arial" w:cs="Arial"/>
          <w:sz w:val="16"/>
          <w:szCs w:val="16"/>
        </w:rPr>
        <w:t xml:space="preserve">                       </w:t>
      </w:r>
    </w:p>
    <w:sectPr w:rsidR="001F0A8E" w:rsidSect="00F975AE">
      <w:pgSz w:w="12240" w:h="15840" w:code="1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BA3FB" w14:textId="77777777" w:rsidR="00F36D79" w:rsidRDefault="00F36D79" w:rsidP="00184C47">
      <w:r>
        <w:separator/>
      </w:r>
    </w:p>
  </w:endnote>
  <w:endnote w:type="continuationSeparator" w:id="0">
    <w:p w14:paraId="41571F83" w14:textId="77777777" w:rsidR="00F36D79" w:rsidRDefault="00F36D79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1F3864" w:themeColor="accent1" w:themeShade="80"/>
        <w:sz w:val="18"/>
        <w:szCs w:val="18"/>
        <w:lang w:val="es-GT"/>
      </w:rPr>
      <w:id w:val="-1998652897"/>
      <w:docPartObj>
        <w:docPartGallery w:val="Page Numbers (Bottom of Page)"/>
        <w:docPartUnique/>
      </w:docPartObj>
    </w:sdtPr>
    <w:sdtContent>
      <w:p w14:paraId="09104588" w14:textId="4005DE4D" w:rsidR="00D41D3D" w:rsidRDefault="000D7FED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7922F59" wp14:editId="4856ABB3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0" b="0"/>
                  <wp:wrapNone/>
                  <wp:docPr id="94" name="Triángulo isósceles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5A7CB0F" w14:textId="75543DE0" w:rsidR="00D41D3D" w:rsidRPr="00871DCE" w:rsidRDefault="00D41D3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871DCE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871DCE">
                                <w:rPr>
                                  <w:rFonts w:eastAsiaTheme="minorEastAsia" w:cs="Times New Roman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  <w:lang w:val="es-ES"/>
                                </w:rPr>
                                <w:t>2</w:t>
                              </w:r>
                              <w:r w:rsidRPr="00871DCE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922F5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94" o:spid="_x0000_s1027" type="#_x0000_t5" style="position:absolute;left:0;text-align:left;margin-left:0;margin-top:0;width:167.4pt;height:161.8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" adj="21600" fillcolor="#d2eaf1" stroked="f">
                  <v:textbox>
                    <w:txbxContent>
                      <w:p w14:paraId="55A7CB0F" w14:textId="75543DE0" w:rsidR="00D41D3D" w:rsidRPr="00871DCE" w:rsidRDefault="00D41D3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 w:rsidRPr="00871DCE">
                          <w:rPr>
                            <w:b/>
                            <w:bCs/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871DCE">
                          <w:rPr>
                            <w:rFonts w:eastAsiaTheme="minorEastAsia" w:cs="Times New Roman"/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  <w:lang w:val="es-ES"/>
                          </w:rPr>
                          <w:t>2</w:t>
                        </w:r>
                        <w:r w:rsidRPr="00871DCE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Departamento de Desarrollo Institucional</w:t>
        </w:r>
      </w:p>
      <w:p w14:paraId="36E6CC44" w14:textId="3DEE162D" w:rsidR="00FC1908" w:rsidRPr="009B299C" w:rsidRDefault="00E34725" w:rsidP="00D41D3D">
        <w:pPr>
          <w:pStyle w:val="Piedepgina"/>
          <w:jc w:val="right"/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</w:pP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28</w:t>
        </w:r>
        <w:r w:rsidR="008A63E8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de</w:t>
        </w:r>
        <w:r w:rsidR="00A5296E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</w:t>
        </w:r>
        <w:r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>noviembre</w:t>
        </w:r>
        <w:r w:rsidR="00D41D3D">
          <w:rPr>
            <w:rFonts w:ascii="Times New Roman" w:hAnsi="Times New Roman" w:cs="Times New Roman"/>
            <w:color w:val="1F3864" w:themeColor="accent1" w:themeShade="80"/>
            <w:sz w:val="18"/>
            <w:szCs w:val="18"/>
            <w:lang w:val="es-GT"/>
          </w:rPr>
          <w:t xml:space="preserve"> 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650BA" w14:textId="77777777" w:rsidR="00F36D79" w:rsidRDefault="00F36D79" w:rsidP="00184C47">
      <w:r>
        <w:separator/>
      </w:r>
    </w:p>
  </w:footnote>
  <w:footnote w:type="continuationSeparator" w:id="0">
    <w:p w14:paraId="162744FF" w14:textId="77777777" w:rsidR="00F36D79" w:rsidRDefault="00F36D79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3A6E" w14:textId="1B7E8A8C" w:rsidR="00184C47" w:rsidRDefault="00CF3738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283333869" name="Imagen 1283333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141431712" name="Imagen 141431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7F6A"/>
    <w:multiLevelType w:val="hybridMultilevel"/>
    <w:tmpl w:val="25B29696"/>
    <w:lvl w:ilvl="0" w:tplc="243A2F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580"/>
    <w:multiLevelType w:val="hybridMultilevel"/>
    <w:tmpl w:val="863E9810"/>
    <w:lvl w:ilvl="0" w:tplc="B1F0BD3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23F"/>
    <w:multiLevelType w:val="hybridMultilevel"/>
    <w:tmpl w:val="32AC4130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93C"/>
    <w:multiLevelType w:val="hybridMultilevel"/>
    <w:tmpl w:val="02282038"/>
    <w:lvl w:ilvl="0" w:tplc="29CCDCD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6"/>
    <w:multiLevelType w:val="hybridMultilevel"/>
    <w:tmpl w:val="2BDE4F58"/>
    <w:lvl w:ilvl="0" w:tplc="354C22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511">
    <w:abstractNumId w:val="0"/>
  </w:num>
  <w:num w:numId="2" w16cid:durableId="2007858949">
    <w:abstractNumId w:val="4"/>
  </w:num>
  <w:num w:numId="3" w16cid:durableId="421535138">
    <w:abstractNumId w:val="1"/>
  </w:num>
  <w:num w:numId="4" w16cid:durableId="171838340">
    <w:abstractNumId w:val="2"/>
  </w:num>
  <w:num w:numId="5" w16cid:durableId="1842618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1285D"/>
    <w:rsid w:val="000134BB"/>
    <w:rsid w:val="00013B3D"/>
    <w:rsid w:val="0001512C"/>
    <w:rsid w:val="000177AD"/>
    <w:rsid w:val="00017D2E"/>
    <w:rsid w:val="00020361"/>
    <w:rsid w:val="00020692"/>
    <w:rsid w:val="00020B53"/>
    <w:rsid w:val="000244E4"/>
    <w:rsid w:val="00024F5C"/>
    <w:rsid w:val="000251B0"/>
    <w:rsid w:val="000333AD"/>
    <w:rsid w:val="00034BA0"/>
    <w:rsid w:val="00035699"/>
    <w:rsid w:val="000477E7"/>
    <w:rsid w:val="00050305"/>
    <w:rsid w:val="00051523"/>
    <w:rsid w:val="00053CEF"/>
    <w:rsid w:val="000579AE"/>
    <w:rsid w:val="00062196"/>
    <w:rsid w:val="00064051"/>
    <w:rsid w:val="000656EC"/>
    <w:rsid w:val="00065E8A"/>
    <w:rsid w:val="0007361B"/>
    <w:rsid w:val="00075062"/>
    <w:rsid w:val="000766EC"/>
    <w:rsid w:val="00077580"/>
    <w:rsid w:val="0008174A"/>
    <w:rsid w:val="00081EB4"/>
    <w:rsid w:val="00084DAD"/>
    <w:rsid w:val="00086000"/>
    <w:rsid w:val="000864CB"/>
    <w:rsid w:val="0008758F"/>
    <w:rsid w:val="0008763A"/>
    <w:rsid w:val="000926D9"/>
    <w:rsid w:val="00092C63"/>
    <w:rsid w:val="00096810"/>
    <w:rsid w:val="000A1E83"/>
    <w:rsid w:val="000A2601"/>
    <w:rsid w:val="000A42A4"/>
    <w:rsid w:val="000A6528"/>
    <w:rsid w:val="000B3148"/>
    <w:rsid w:val="000B39E2"/>
    <w:rsid w:val="000C6AD6"/>
    <w:rsid w:val="000C7481"/>
    <w:rsid w:val="000D00DE"/>
    <w:rsid w:val="000D21AF"/>
    <w:rsid w:val="000D7386"/>
    <w:rsid w:val="000D7FED"/>
    <w:rsid w:val="000E1408"/>
    <w:rsid w:val="000E378D"/>
    <w:rsid w:val="000F1AAF"/>
    <w:rsid w:val="000F2AEE"/>
    <w:rsid w:val="000F43DD"/>
    <w:rsid w:val="000F4EE8"/>
    <w:rsid w:val="00100AEC"/>
    <w:rsid w:val="0010126C"/>
    <w:rsid w:val="001021AF"/>
    <w:rsid w:val="00102A94"/>
    <w:rsid w:val="0010414C"/>
    <w:rsid w:val="00105E45"/>
    <w:rsid w:val="001116BC"/>
    <w:rsid w:val="00114C98"/>
    <w:rsid w:val="001202BB"/>
    <w:rsid w:val="00120FFC"/>
    <w:rsid w:val="001215F2"/>
    <w:rsid w:val="00121684"/>
    <w:rsid w:val="0012441E"/>
    <w:rsid w:val="001250BE"/>
    <w:rsid w:val="001267C1"/>
    <w:rsid w:val="00134D40"/>
    <w:rsid w:val="0014029C"/>
    <w:rsid w:val="00141116"/>
    <w:rsid w:val="00141D53"/>
    <w:rsid w:val="0014202D"/>
    <w:rsid w:val="00145672"/>
    <w:rsid w:val="00146876"/>
    <w:rsid w:val="001508B1"/>
    <w:rsid w:val="00152C17"/>
    <w:rsid w:val="00154D88"/>
    <w:rsid w:val="00155FDB"/>
    <w:rsid w:val="00160B39"/>
    <w:rsid w:val="00161FFE"/>
    <w:rsid w:val="001639DF"/>
    <w:rsid w:val="00164CA4"/>
    <w:rsid w:val="0016658B"/>
    <w:rsid w:val="001702CA"/>
    <w:rsid w:val="00170736"/>
    <w:rsid w:val="00171EBE"/>
    <w:rsid w:val="001724CC"/>
    <w:rsid w:val="00176F3A"/>
    <w:rsid w:val="00177BBC"/>
    <w:rsid w:val="00182972"/>
    <w:rsid w:val="00183F96"/>
    <w:rsid w:val="001841DE"/>
    <w:rsid w:val="00184C47"/>
    <w:rsid w:val="001862FD"/>
    <w:rsid w:val="0018636B"/>
    <w:rsid w:val="00186716"/>
    <w:rsid w:val="00186D59"/>
    <w:rsid w:val="00191514"/>
    <w:rsid w:val="00194906"/>
    <w:rsid w:val="00195347"/>
    <w:rsid w:val="001976C6"/>
    <w:rsid w:val="001A0D50"/>
    <w:rsid w:val="001A5143"/>
    <w:rsid w:val="001A5BD0"/>
    <w:rsid w:val="001A7258"/>
    <w:rsid w:val="001A7870"/>
    <w:rsid w:val="001B39C4"/>
    <w:rsid w:val="001B4021"/>
    <w:rsid w:val="001C03FD"/>
    <w:rsid w:val="001C0DE8"/>
    <w:rsid w:val="001C304A"/>
    <w:rsid w:val="001C335F"/>
    <w:rsid w:val="001C38A1"/>
    <w:rsid w:val="001C497C"/>
    <w:rsid w:val="001C5FC2"/>
    <w:rsid w:val="001D3E3D"/>
    <w:rsid w:val="001D405A"/>
    <w:rsid w:val="001D517F"/>
    <w:rsid w:val="001D5871"/>
    <w:rsid w:val="001D5B94"/>
    <w:rsid w:val="001D6D92"/>
    <w:rsid w:val="001D76F6"/>
    <w:rsid w:val="001D7E1B"/>
    <w:rsid w:val="001E60FE"/>
    <w:rsid w:val="001E6CBB"/>
    <w:rsid w:val="001F0A8E"/>
    <w:rsid w:val="001F2D59"/>
    <w:rsid w:val="001F3F09"/>
    <w:rsid w:val="002004C1"/>
    <w:rsid w:val="002029AD"/>
    <w:rsid w:val="0020438B"/>
    <w:rsid w:val="00204FAB"/>
    <w:rsid w:val="00205A5E"/>
    <w:rsid w:val="00205F14"/>
    <w:rsid w:val="002121E9"/>
    <w:rsid w:val="002127BE"/>
    <w:rsid w:val="0021451B"/>
    <w:rsid w:val="002153EB"/>
    <w:rsid w:val="00220E25"/>
    <w:rsid w:val="002214D2"/>
    <w:rsid w:val="002241CF"/>
    <w:rsid w:val="00225048"/>
    <w:rsid w:val="00225AED"/>
    <w:rsid w:val="00226007"/>
    <w:rsid w:val="002269BE"/>
    <w:rsid w:val="00227B58"/>
    <w:rsid w:val="00230C10"/>
    <w:rsid w:val="00230EBA"/>
    <w:rsid w:val="002335D6"/>
    <w:rsid w:val="00234717"/>
    <w:rsid w:val="00234D38"/>
    <w:rsid w:val="00234F5A"/>
    <w:rsid w:val="0023675C"/>
    <w:rsid w:val="0023706A"/>
    <w:rsid w:val="002379EB"/>
    <w:rsid w:val="0024198C"/>
    <w:rsid w:val="00241E4B"/>
    <w:rsid w:val="00242DDA"/>
    <w:rsid w:val="0024494C"/>
    <w:rsid w:val="00245E5A"/>
    <w:rsid w:val="00250282"/>
    <w:rsid w:val="00252358"/>
    <w:rsid w:val="0025245A"/>
    <w:rsid w:val="00252B08"/>
    <w:rsid w:val="0025731C"/>
    <w:rsid w:val="00265C3B"/>
    <w:rsid w:val="002664F1"/>
    <w:rsid w:val="002678C2"/>
    <w:rsid w:val="00272007"/>
    <w:rsid w:val="00272F85"/>
    <w:rsid w:val="0027305A"/>
    <w:rsid w:val="00273F67"/>
    <w:rsid w:val="00274E51"/>
    <w:rsid w:val="0028007B"/>
    <w:rsid w:val="00281F57"/>
    <w:rsid w:val="00284AD7"/>
    <w:rsid w:val="00286530"/>
    <w:rsid w:val="002865CB"/>
    <w:rsid w:val="00286B2D"/>
    <w:rsid w:val="002906FE"/>
    <w:rsid w:val="002937CB"/>
    <w:rsid w:val="0029720A"/>
    <w:rsid w:val="00297D32"/>
    <w:rsid w:val="002A0E67"/>
    <w:rsid w:val="002A1ABB"/>
    <w:rsid w:val="002A2B1C"/>
    <w:rsid w:val="002A3DC3"/>
    <w:rsid w:val="002A6DEA"/>
    <w:rsid w:val="002A7865"/>
    <w:rsid w:val="002B1DE0"/>
    <w:rsid w:val="002B1F6F"/>
    <w:rsid w:val="002B43DF"/>
    <w:rsid w:val="002C1544"/>
    <w:rsid w:val="002C2CDB"/>
    <w:rsid w:val="002C4F13"/>
    <w:rsid w:val="002D7066"/>
    <w:rsid w:val="002D7739"/>
    <w:rsid w:val="002E012D"/>
    <w:rsid w:val="002E3176"/>
    <w:rsid w:val="002E328E"/>
    <w:rsid w:val="002E49EB"/>
    <w:rsid w:val="002E6C3B"/>
    <w:rsid w:val="002F21F7"/>
    <w:rsid w:val="002F37EA"/>
    <w:rsid w:val="002F5FC3"/>
    <w:rsid w:val="002F6E9C"/>
    <w:rsid w:val="002F79C9"/>
    <w:rsid w:val="0030130E"/>
    <w:rsid w:val="00310DE9"/>
    <w:rsid w:val="00312EAF"/>
    <w:rsid w:val="00313FB4"/>
    <w:rsid w:val="00314122"/>
    <w:rsid w:val="00317232"/>
    <w:rsid w:val="0032223F"/>
    <w:rsid w:val="00324FAB"/>
    <w:rsid w:val="00325EA0"/>
    <w:rsid w:val="00330FDF"/>
    <w:rsid w:val="003314DE"/>
    <w:rsid w:val="003320BB"/>
    <w:rsid w:val="003360D3"/>
    <w:rsid w:val="003371FF"/>
    <w:rsid w:val="00344523"/>
    <w:rsid w:val="003463AA"/>
    <w:rsid w:val="00346C20"/>
    <w:rsid w:val="003471B1"/>
    <w:rsid w:val="003516A3"/>
    <w:rsid w:val="00352D39"/>
    <w:rsid w:val="00352F57"/>
    <w:rsid w:val="003535DF"/>
    <w:rsid w:val="003549B9"/>
    <w:rsid w:val="003557D2"/>
    <w:rsid w:val="003561A5"/>
    <w:rsid w:val="003572EB"/>
    <w:rsid w:val="00357627"/>
    <w:rsid w:val="0036026A"/>
    <w:rsid w:val="00360423"/>
    <w:rsid w:val="0036284A"/>
    <w:rsid w:val="00363399"/>
    <w:rsid w:val="00367486"/>
    <w:rsid w:val="00370445"/>
    <w:rsid w:val="003710A9"/>
    <w:rsid w:val="0037519C"/>
    <w:rsid w:val="00383E85"/>
    <w:rsid w:val="003847BD"/>
    <w:rsid w:val="00385D0E"/>
    <w:rsid w:val="003863A4"/>
    <w:rsid w:val="00390E16"/>
    <w:rsid w:val="00393132"/>
    <w:rsid w:val="003953D3"/>
    <w:rsid w:val="00395459"/>
    <w:rsid w:val="003963B1"/>
    <w:rsid w:val="003A0228"/>
    <w:rsid w:val="003A1F95"/>
    <w:rsid w:val="003A252E"/>
    <w:rsid w:val="003A34DD"/>
    <w:rsid w:val="003A35AB"/>
    <w:rsid w:val="003A4877"/>
    <w:rsid w:val="003A4F0D"/>
    <w:rsid w:val="003A72A3"/>
    <w:rsid w:val="003B463A"/>
    <w:rsid w:val="003B575F"/>
    <w:rsid w:val="003C0CC4"/>
    <w:rsid w:val="003C1961"/>
    <w:rsid w:val="003C2B3F"/>
    <w:rsid w:val="003D078E"/>
    <w:rsid w:val="003D110F"/>
    <w:rsid w:val="003D3F6A"/>
    <w:rsid w:val="003D4875"/>
    <w:rsid w:val="003D73BC"/>
    <w:rsid w:val="003E0C26"/>
    <w:rsid w:val="003E1048"/>
    <w:rsid w:val="003E12DE"/>
    <w:rsid w:val="003E26D4"/>
    <w:rsid w:val="003E5F47"/>
    <w:rsid w:val="003E6369"/>
    <w:rsid w:val="003E678C"/>
    <w:rsid w:val="003E6ACD"/>
    <w:rsid w:val="003E6D22"/>
    <w:rsid w:val="003E7D6E"/>
    <w:rsid w:val="003F1218"/>
    <w:rsid w:val="003F1698"/>
    <w:rsid w:val="003F5EEF"/>
    <w:rsid w:val="003F6B70"/>
    <w:rsid w:val="003F731A"/>
    <w:rsid w:val="004025AF"/>
    <w:rsid w:val="004033CC"/>
    <w:rsid w:val="0040356A"/>
    <w:rsid w:val="004101B3"/>
    <w:rsid w:val="0041090F"/>
    <w:rsid w:val="00416E34"/>
    <w:rsid w:val="00416FB8"/>
    <w:rsid w:val="00417EE4"/>
    <w:rsid w:val="004211A2"/>
    <w:rsid w:val="00421DF2"/>
    <w:rsid w:val="00421EBE"/>
    <w:rsid w:val="00424153"/>
    <w:rsid w:val="004249A0"/>
    <w:rsid w:val="00432A3B"/>
    <w:rsid w:val="0043578B"/>
    <w:rsid w:val="00435DAE"/>
    <w:rsid w:val="0043744A"/>
    <w:rsid w:val="004413AA"/>
    <w:rsid w:val="00442074"/>
    <w:rsid w:val="00443B2C"/>
    <w:rsid w:val="00446C98"/>
    <w:rsid w:val="00447DEA"/>
    <w:rsid w:val="0045220D"/>
    <w:rsid w:val="004530BE"/>
    <w:rsid w:val="004563DB"/>
    <w:rsid w:val="00456442"/>
    <w:rsid w:val="00460ABF"/>
    <w:rsid w:val="00460EC6"/>
    <w:rsid w:val="00461425"/>
    <w:rsid w:val="0046668E"/>
    <w:rsid w:val="004707A1"/>
    <w:rsid w:val="00470F25"/>
    <w:rsid w:val="00472047"/>
    <w:rsid w:val="0047478D"/>
    <w:rsid w:val="00475E07"/>
    <w:rsid w:val="004819A9"/>
    <w:rsid w:val="004821F8"/>
    <w:rsid w:val="004846FE"/>
    <w:rsid w:val="00486DA5"/>
    <w:rsid w:val="0048741E"/>
    <w:rsid w:val="0049342F"/>
    <w:rsid w:val="00493A53"/>
    <w:rsid w:val="00495E4B"/>
    <w:rsid w:val="00495E7D"/>
    <w:rsid w:val="004979C4"/>
    <w:rsid w:val="004A3790"/>
    <w:rsid w:val="004A3F31"/>
    <w:rsid w:val="004A416E"/>
    <w:rsid w:val="004A5D1C"/>
    <w:rsid w:val="004A7537"/>
    <w:rsid w:val="004B1EA2"/>
    <w:rsid w:val="004B5AFE"/>
    <w:rsid w:val="004B5F81"/>
    <w:rsid w:val="004B6CE8"/>
    <w:rsid w:val="004B71C1"/>
    <w:rsid w:val="004B7265"/>
    <w:rsid w:val="004C0F4A"/>
    <w:rsid w:val="004C1918"/>
    <w:rsid w:val="004C4D76"/>
    <w:rsid w:val="004C5A6F"/>
    <w:rsid w:val="004C7D7E"/>
    <w:rsid w:val="004D145B"/>
    <w:rsid w:val="004D74AB"/>
    <w:rsid w:val="004E231F"/>
    <w:rsid w:val="004E243D"/>
    <w:rsid w:val="004E4904"/>
    <w:rsid w:val="004E4B23"/>
    <w:rsid w:val="004E4E16"/>
    <w:rsid w:val="004E582B"/>
    <w:rsid w:val="004E5D2F"/>
    <w:rsid w:val="004E7C79"/>
    <w:rsid w:val="004F2262"/>
    <w:rsid w:val="004F2735"/>
    <w:rsid w:val="004F4B95"/>
    <w:rsid w:val="004F4F85"/>
    <w:rsid w:val="004F5B25"/>
    <w:rsid w:val="005020B7"/>
    <w:rsid w:val="005030A4"/>
    <w:rsid w:val="00507D95"/>
    <w:rsid w:val="005101D6"/>
    <w:rsid w:val="00516424"/>
    <w:rsid w:val="005232ED"/>
    <w:rsid w:val="00524D92"/>
    <w:rsid w:val="0052508E"/>
    <w:rsid w:val="005267E9"/>
    <w:rsid w:val="0053062F"/>
    <w:rsid w:val="005312BC"/>
    <w:rsid w:val="005328DB"/>
    <w:rsid w:val="00533AB0"/>
    <w:rsid w:val="005347FD"/>
    <w:rsid w:val="00534F63"/>
    <w:rsid w:val="00536033"/>
    <w:rsid w:val="0053678D"/>
    <w:rsid w:val="00536C3F"/>
    <w:rsid w:val="005371CD"/>
    <w:rsid w:val="0053757F"/>
    <w:rsid w:val="00537A2C"/>
    <w:rsid w:val="00541981"/>
    <w:rsid w:val="00545634"/>
    <w:rsid w:val="005475E2"/>
    <w:rsid w:val="00550B0C"/>
    <w:rsid w:val="00550CF1"/>
    <w:rsid w:val="00552072"/>
    <w:rsid w:val="005536DE"/>
    <w:rsid w:val="0055589B"/>
    <w:rsid w:val="00560B5A"/>
    <w:rsid w:val="00561510"/>
    <w:rsid w:val="00561829"/>
    <w:rsid w:val="0056232A"/>
    <w:rsid w:val="005630CC"/>
    <w:rsid w:val="0056324D"/>
    <w:rsid w:val="005759AE"/>
    <w:rsid w:val="00575C20"/>
    <w:rsid w:val="00577EB0"/>
    <w:rsid w:val="00583F37"/>
    <w:rsid w:val="0058525B"/>
    <w:rsid w:val="00586914"/>
    <w:rsid w:val="00587D5E"/>
    <w:rsid w:val="00590048"/>
    <w:rsid w:val="005907EA"/>
    <w:rsid w:val="00590BFA"/>
    <w:rsid w:val="005928EA"/>
    <w:rsid w:val="005944AA"/>
    <w:rsid w:val="0059666C"/>
    <w:rsid w:val="005A21D2"/>
    <w:rsid w:val="005A26E2"/>
    <w:rsid w:val="005A37ED"/>
    <w:rsid w:val="005A681A"/>
    <w:rsid w:val="005A6D8E"/>
    <w:rsid w:val="005A7013"/>
    <w:rsid w:val="005B4D02"/>
    <w:rsid w:val="005B560D"/>
    <w:rsid w:val="005C3C7E"/>
    <w:rsid w:val="005C3FE7"/>
    <w:rsid w:val="005C62D7"/>
    <w:rsid w:val="005D07A2"/>
    <w:rsid w:val="005D09EA"/>
    <w:rsid w:val="005D4EB7"/>
    <w:rsid w:val="005D7780"/>
    <w:rsid w:val="005E02DE"/>
    <w:rsid w:val="005E077E"/>
    <w:rsid w:val="005E121E"/>
    <w:rsid w:val="005E2BF9"/>
    <w:rsid w:val="005E407F"/>
    <w:rsid w:val="005E5D35"/>
    <w:rsid w:val="005E5E62"/>
    <w:rsid w:val="005E69C1"/>
    <w:rsid w:val="005F0533"/>
    <w:rsid w:val="005F0EA2"/>
    <w:rsid w:val="005F18A9"/>
    <w:rsid w:val="005F1983"/>
    <w:rsid w:val="005F29FA"/>
    <w:rsid w:val="005F34F9"/>
    <w:rsid w:val="005F3844"/>
    <w:rsid w:val="005F3E36"/>
    <w:rsid w:val="005F43C2"/>
    <w:rsid w:val="005F44C1"/>
    <w:rsid w:val="00600287"/>
    <w:rsid w:val="00602184"/>
    <w:rsid w:val="00607343"/>
    <w:rsid w:val="006077FE"/>
    <w:rsid w:val="006129B7"/>
    <w:rsid w:val="006132BB"/>
    <w:rsid w:val="0061481D"/>
    <w:rsid w:val="00614BF5"/>
    <w:rsid w:val="00616D60"/>
    <w:rsid w:val="00621F37"/>
    <w:rsid w:val="00622346"/>
    <w:rsid w:val="006223FB"/>
    <w:rsid w:val="00626400"/>
    <w:rsid w:val="00626E72"/>
    <w:rsid w:val="00631294"/>
    <w:rsid w:val="00635344"/>
    <w:rsid w:val="00640239"/>
    <w:rsid w:val="00643E10"/>
    <w:rsid w:val="006449DB"/>
    <w:rsid w:val="006468C9"/>
    <w:rsid w:val="00647DB7"/>
    <w:rsid w:val="00652221"/>
    <w:rsid w:val="0065465D"/>
    <w:rsid w:val="006560C3"/>
    <w:rsid w:val="00657202"/>
    <w:rsid w:val="00657F64"/>
    <w:rsid w:val="00662C87"/>
    <w:rsid w:val="00662E53"/>
    <w:rsid w:val="00665B30"/>
    <w:rsid w:val="0066608D"/>
    <w:rsid w:val="00666A74"/>
    <w:rsid w:val="00670566"/>
    <w:rsid w:val="00671D4A"/>
    <w:rsid w:val="00673303"/>
    <w:rsid w:val="0067414D"/>
    <w:rsid w:val="00674F25"/>
    <w:rsid w:val="00675856"/>
    <w:rsid w:val="006758A9"/>
    <w:rsid w:val="00676073"/>
    <w:rsid w:val="006761E3"/>
    <w:rsid w:val="00680EB0"/>
    <w:rsid w:val="006814B0"/>
    <w:rsid w:val="00684ADE"/>
    <w:rsid w:val="00684E38"/>
    <w:rsid w:val="0068579E"/>
    <w:rsid w:val="00685AF1"/>
    <w:rsid w:val="00686A29"/>
    <w:rsid w:val="0069201B"/>
    <w:rsid w:val="00694E1D"/>
    <w:rsid w:val="006958DE"/>
    <w:rsid w:val="00695AD4"/>
    <w:rsid w:val="00696C49"/>
    <w:rsid w:val="006A01BB"/>
    <w:rsid w:val="006A1394"/>
    <w:rsid w:val="006A3114"/>
    <w:rsid w:val="006A3F0D"/>
    <w:rsid w:val="006B0080"/>
    <w:rsid w:val="006B0BE2"/>
    <w:rsid w:val="006B0DA9"/>
    <w:rsid w:val="006C1440"/>
    <w:rsid w:val="006C1B12"/>
    <w:rsid w:val="006C37CC"/>
    <w:rsid w:val="006C3D1E"/>
    <w:rsid w:val="006C46C2"/>
    <w:rsid w:val="006C6ACF"/>
    <w:rsid w:val="006C7D57"/>
    <w:rsid w:val="006D0908"/>
    <w:rsid w:val="006D19DA"/>
    <w:rsid w:val="006D229C"/>
    <w:rsid w:val="006D261B"/>
    <w:rsid w:val="006D2777"/>
    <w:rsid w:val="006D2BCF"/>
    <w:rsid w:val="006E2243"/>
    <w:rsid w:val="006E5AF0"/>
    <w:rsid w:val="006E6814"/>
    <w:rsid w:val="006F3339"/>
    <w:rsid w:val="006F50BA"/>
    <w:rsid w:val="006F62E9"/>
    <w:rsid w:val="006F69C8"/>
    <w:rsid w:val="00704D85"/>
    <w:rsid w:val="00705233"/>
    <w:rsid w:val="0070563F"/>
    <w:rsid w:val="007111F0"/>
    <w:rsid w:val="00711AE2"/>
    <w:rsid w:val="007134DB"/>
    <w:rsid w:val="0071499C"/>
    <w:rsid w:val="0071583B"/>
    <w:rsid w:val="00716C3E"/>
    <w:rsid w:val="0071787F"/>
    <w:rsid w:val="007214D6"/>
    <w:rsid w:val="00722FB2"/>
    <w:rsid w:val="00726F5C"/>
    <w:rsid w:val="00726FCB"/>
    <w:rsid w:val="00727AD9"/>
    <w:rsid w:val="00730837"/>
    <w:rsid w:val="0073381F"/>
    <w:rsid w:val="00734721"/>
    <w:rsid w:val="007402A6"/>
    <w:rsid w:val="00740ACC"/>
    <w:rsid w:val="0074114C"/>
    <w:rsid w:val="00742CAB"/>
    <w:rsid w:val="00743442"/>
    <w:rsid w:val="00743561"/>
    <w:rsid w:val="00746068"/>
    <w:rsid w:val="00746D75"/>
    <w:rsid w:val="007508C7"/>
    <w:rsid w:val="007519B8"/>
    <w:rsid w:val="0075233E"/>
    <w:rsid w:val="0075305F"/>
    <w:rsid w:val="007537CF"/>
    <w:rsid w:val="00757765"/>
    <w:rsid w:val="007610ED"/>
    <w:rsid w:val="00761F69"/>
    <w:rsid w:val="007636DF"/>
    <w:rsid w:val="007637CA"/>
    <w:rsid w:val="007637CB"/>
    <w:rsid w:val="00766E67"/>
    <w:rsid w:val="00767EA7"/>
    <w:rsid w:val="00777319"/>
    <w:rsid w:val="00780F88"/>
    <w:rsid w:val="00783719"/>
    <w:rsid w:val="00783CB1"/>
    <w:rsid w:val="00785DFF"/>
    <w:rsid w:val="00793439"/>
    <w:rsid w:val="00795387"/>
    <w:rsid w:val="007955A2"/>
    <w:rsid w:val="007957EE"/>
    <w:rsid w:val="0079791A"/>
    <w:rsid w:val="007A1161"/>
    <w:rsid w:val="007A39F0"/>
    <w:rsid w:val="007A7E4C"/>
    <w:rsid w:val="007B336F"/>
    <w:rsid w:val="007C1B5A"/>
    <w:rsid w:val="007C2DFE"/>
    <w:rsid w:val="007C3D1B"/>
    <w:rsid w:val="007C5611"/>
    <w:rsid w:val="007C5C6B"/>
    <w:rsid w:val="007C6F4D"/>
    <w:rsid w:val="007C72B6"/>
    <w:rsid w:val="007D17F3"/>
    <w:rsid w:val="007D2626"/>
    <w:rsid w:val="007D3414"/>
    <w:rsid w:val="007D4431"/>
    <w:rsid w:val="007D519D"/>
    <w:rsid w:val="007D5352"/>
    <w:rsid w:val="007D6D0E"/>
    <w:rsid w:val="007E04AF"/>
    <w:rsid w:val="007E21BB"/>
    <w:rsid w:val="007E5508"/>
    <w:rsid w:val="007E64EE"/>
    <w:rsid w:val="007F6A94"/>
    <w:rsid w:val="007F7905"/>
    <w:rsid w:val="0080354A"/>
    <w:rsid w:val="008064A8"/>
    <w:rsid w:val="00806C9E"/>
    <w:rsid w:val="00810836"/>
    <w:rsid w:val="0081170D"/>
    <w:rsid w:val="00812842"/>
    <w:rsid w:val="00822750"/>
    <w:rsid w:val="00822E9F"/>
    <w:rsid w:val="0082509A"/>
    <w:rsid w:val="00834B43"/>
    <w:rsid w:val="00835208"/>
    <w:rsid w:val="008366CF"/>
    <w:rsid w:val="00836E3A"/>
    <w:rsid w:val="00836EB4"/>
    <w:rsid w:val="008406F9"/>
    <w:rsid w:val="008436AB"/>
    <w:rsid w:val="00845585"/>
    <w:rsid w:val="00851C06"/>
    <w:rsid w:val="00852220"/>
    <w:rsid w:val="00853F13"/>
    <w:rsid w:val="0086184F"/>
    <w:rsid w:val="00861FC3"/>
    <w:rsid w:val="00864F7A"/>
    <w:rsid w:val="00865348"/>
    <w:rsid w:val="00865F70"/>
    <w:rsid w:val="0087020E"/>
    <w:rsid w:val="00871892"/>
    <w:rsid w:val="00871DCE"/>
    <w:rsid w:val="0087227A"/>
    <w:rsid w:val="008754E3"/>
    <w:rsid w:val="00880170"/>
    <w:rsid w:val="00880361"/>
    <w:rsid w:val="00880E0F"/>
    <w:rsid w:val="008821A3"/>
    <w:rsid w:val="0088300F"/>
    <w:rsid w:val="008835AA"/>
    <w:rsid w:val="00883B42"/>
    <w:rsid w:val="008902A6"/>
    <w:rsid w:val="00890BAC"/>
    <w:rsid w:val="00892EEF"/>
    <w:rsid w:val="0089328D"/>
    <w:rsid w:val="00894167"/>
    <w:rsid w:val="00895206"/>
    <w:rsid w:val="00896FDA"/>
    <w:rsid w:val="008A384E"/>
    <w:rsid w:val="008A4648"/>
    <w:rsid w:val="008A5372"/>
    <w:rsid w:val="008A63B8"/>
    <w:rsid w:val="008A63E8"/>
    <w:rsid w:val="008A6F29"/>
    <w:rsid w:val="008B00D8"/>
    <w:rsid w:val="008B0C04"/>
    <w:rsid w:val="008B1E40"/>
    <w:rsid w:val="008B3433"/>
    <w:rsid w:val="008B5B5B"/>
    <w:rsid w:val="008B6638"/>
    <w:rsid w:val="008C346B"/>
    <w:rsid w:val="008C3DDF"/>
    <w:rsid w:val="008C402A"/>
    <w:rsid w:val="008C4227"/>
    <w:rsid w:val="008C7827"/>
    <w:rsid w:val="008D010D"/>
    <w:rsid w:val="008D0BD9"/>
    <w:rsid w:val="008D3567"/>
    <w:rsid w:val="008D4A8C"/>
    <w:rsid w:val="008D6839"/>
    <w:rsid w:val="008E00E1"/>
    <w:rsid w:val="008E1FFF"/>
    <w:rsid w:val="008E52DF"/>
    <w:rsid w:val="008E71F3"/>
    <w:rsid w:val="008F10C7"/>
    <w:rsid w:val="008F1EC7"/>
    <w:rsid w:val="008F2FC4"/>
    <w:rsid w:val="008F598A"/>
    <w:rsid w:val="00905CEA"/>
    <w:rsid w:val="009068FF"/>
    <w:rsid w:val="00910D9A"/>
    <w:rsid w:val="00910E7A"/>
    <w:rsid w:val="00920110"/>
    <w:rsid w:val="009216B9"/>
    <w:rsid w:val="009223B3"/>
    <w:rsid w:val="009230A1"/>
    <w:rsid w:val="009278F2"/>
    <w:rsid w:val="00934E07"/>
    <w:rsid w:val="00935FB7"/>
    <w:rsid w:val="00937CB8"/>
    <w:rsid w:val="00942A7C"/>
    <w:rsid w:val="00943E68"/>
    <w:rsid w:val="0094427E"/>
    <w:rsid w:val="00947D9C"/>
    <w:rsid w:val="00952E7F"/>
    <w:rsid w:val="00954A8B"/>
    <w:rsid w:val="00956C32"/>
    <w:rsid w:val="0096033F"/>
    <w:rsid w:val="00960B14"/>
    <w:rsid w:val="00962C81"/>
    <w:rsid w:val="00963DF2"/>
    <w:rsid w:val="00967490"/>
    <w:rsid w:val="00971AB1"/>
    <w:rsid w:val="009742DF"/>
    <w:rsid w:val="0097544A"/>
    <w:rsid w:val="00976546"/>
    <w:rsid w:val="00980AA0"/>
    <w:rsid w:val="009822AD"/>
    <w:rsid w:val="00991AF7"/>
    <w:rsid w:val="009936CB"/>
    <w:rsid w:val="009949C9"/>
    <w:rsid w:val="009954C2"/>
    <w:rsid w:val="00996B6D"/>
    <w:rsid w:val="009A35A4"/>
    <w:rsid w:val="009A480D"/>
    <w:rsid w:val="009A5EF8"/>
    <w:rsid w:val="009A629B"/>
    <w:rsid w:val="009A62C7"/>
    <w:rsid w:val="009A69BC"/>
    <w:rsid w:val="009A6A3D"/>
    <w:rsid w:val="009A7A66"/>
    <w:rsid w:val="009B28FB"/>
    <w:rsid w:val="009B299C"/>
    <w:rsid w:val="009B2CFA"/>
    <w:rsid w:val="009B7422"/>
    <w:rsid w:val="009C0B01"/>
    <w:rsid w:val="009C1553"/>
    <w:rsid w:val="009C2DCA"/>
    <w:rsid w:val="009C3842"/>
    <w:rsid w:val="009C4311"/>
    <w:rsid w:val="009C657E"/>
    <w:rsid w:val="009C7E68"/>
    <w:rsid w:val="009D0404"/>
    <w:rsid w:val="009D16AB"/>
    <w:rsid w:val="009D22DD"/>
    <w:rsid w:val="009D33F9"/>
    <w:rsid w:val="009D4689"/>
    <w:rsid w:val="009D48E5"/>
    <w:rsid w:val="009D5A21"/>
    <w:rsid w:val="009D69CB"/>
    <w:rsid w:val="009E0A7A"/>
    <w:rsid w:val="009E0CF2"/>
    <w:rsid w:val="009E0ED2"/>
    <w:rsid w:val="009E4520"/>
    <w:rsid w:val="009E47ED"/>
    <w:rsid w:val="009F010C"/>
    <w:rsid w:val="009F1104"/>
    <w:rsid w:val="009F25E7"/>
    <w:rsid w:val="009F72D0"/>
    <w:rsid w:val="009F7B29"/>
    <w:rsid w:val="00A001B5"/>
    <w:rsid w:val="00A011D1"/>
    <w:rsid w:val="00A063A3"/>
    <w:rsid w:val="00A152B5"/>
    <w:rsid w:val="00A157EC"/>
    <w:rsid w:val="00A20593"/>
    <w:rsid w:val="00A20BB6"/>
    <w:rsid w:val="00A21528"/>
    <w:rsid w:val="00A219DE"/>
    <w:rsid w:val="00A220E9"/>
    <w:rsid w:val="00A224C2"/>
    <w:rsid w:val="00A22F85"/>
    <w:rsid w:val="00A237B8"/>
    <w:rsid w:val="00A23CFE"/>
    <w:rsid w:val="00A245D6"/>
    <w:rsid w:val="00A250FF"/>
    <w:rsid w:val="00A251D5"/>
    <w:rsid w:val="00A2534B"/>
    <w:rsid w:val="00A2591C"/>
    <w:rsid w:val="00A2655D"/>
    <w:rsid w:val="00A26DEF"/>
    <w:rsid w:val="00A27455"/>
    <w:rsid w:val="00A30F4B"/>
    <w:rsid w:val="00A310A8"/>
    <w:rsid w:val="00A3274F"/>
    <w:rsid w:val="00A32C45"/>
    <w:rsid w:val="00A33F34"/>
    <w:rsid w:val="00A34595"/>
    <w:rsid w:val="00A362FB"/>
    <w:rsid w:val="00A42139"/>
    <w:rsid w:val="00A4480F"/>
    <w:rsid w:val="00A46EEB"/>
    <w:rsid w:val="00A47EAF"/>
    <w:rsid w:val="00A50C52"/>
    <w:rsid w:val="00A5296E"/>
    <w:rsid w:val="00A55C73"/>
    <w:rsid w:val="00A57B65"/>
    <w:rsid w:val="00A60928"/>
    <w:rsid w:val="00A6205A"/>
    <w:rsid w:val="00A6209D"/>
    <w:rsid w:val="00A6276D"/>
    <w:rsid w:val="00A6287E"/>
    <w:rsid w:val="00A628ED"/>
    <w:rsid w:val="00A6781F"/>
    <w:rsid w:val="00A6792F"/>
    <w:rsid w:val="00A70696"/>
    <w:rsid w:val="00A7176B"/>
    <w:rsid w:val="00A73F3F"/>
    <w:rsid w:val="00A74EC7"/>
    <w:rsid w:val="00A76276"/>
    <w:rsid w:val="00A84F04"/>
    <w:rsid w:val="00A92555"/>
    <w:rsid w:val="00A94508"/>
    <w:rsid w:val="00A96B7F"/>
    <w:rsid w:val="00A97433"/>
    <w:rsid w:val="00AA05C3"/>
    <w:rsid w:val="00AA0C46"/>
    <w:rsid w:val="00AA0D12"/>
    <w:rsid w:val="00AA4E43"/>
    <w:rsid w:val="00AB0E67"/>
    <w:rsid w:val="00AC2FC2"/>
    <w:rsid w:val="00AC3CC2"/>
    <w:rsid w:val="00AC3F1E"/>
    <w:rsid w:val="00AC52B4"/>
    <w:rsid w:val="00AC54CC"/>
    <w:rsid w:val="00AC5C56"/>
    <w:rsid w:val="00AC5D0D"/>
    <w:rsid w:val="00AC69D4"/>
    <w:rsid w:val="00AD22B5"/>
    <w:rsid w:val="00AD343D"/>
    <w:rsid w:val="00AD359E"/>
    <w:rsid w:val="00AD4BCB"/>
    <w:rsid w:val="00AD5976"/>
    <w:rsid w:val="00AD7168"/>
    <w:rsid w:val="00AD7DD1"/>
    <w:rsid w:val="00AE182C"/>
    <w:rsid w:val="00AE36AA"/>
    <w:rsid w:val="00AE448B"/>
    <w:rsid w:val="00AE6173"/>
    <w:rsid w:val="00AE6EEE"/>
    <w:rsid w:val="00AF14BB"/>
    <w:rsid w:val="00AF35F3"/>
    <w:rsid w:val="00AF44B7"/>
    <w:rsid w:val="00AF486B"/>
    <w:rsid w:val="00B04AEF"/>
    <w:rsid w:val="00B07D3A"/>
    <w:rsid w:val="00B105D4"/>
    <w:rsid w:val="00B14E2B"/>
    <w:rsid w:val="00B20165"/>
    <w:rsid w:val="00B2098F"/>
    <w:rsid w:val="00B214C1"/>
    <w:rsid w:val="00B21DDD"/>
    <w:rsid w:val="00B22FD4"/>
    <w:rsid w:val="00B24536"/>
    <w:rsid w:val="00B2678A"/>
    <w:rsid w:val="00B27203"/>
    <w:rsid w:val="00B27783"/>
    <w:rsid w:val="00B32D0F"/>
    <w:rsid w:val="00B32FFC"/>
    <w:rsid w:val="00B335C5"/>
    <w:rsid w:val="00B34B2B"/>
    <w:rsid w:val="00B35E3C"/>
    <w:rsid w:val="00B47346"/>
    <w:rsid w:val="00B47FAA"/>
    <w:rsid w:val="00B517A7"/>
    <w:rsid w:val="00B51F01"/>
    <w:rsid w:val="00B52079"/>
    <w:rsid w:val="00B520F2"/>
    <w:rsid w:val="00B52BB6"/>
    <w:rsid w:val="00B65649"/>
    <w:rsid w:val="00B65B1A"/>
    <w:rsid w:val="00B74BB7"/>
    <w:rsid w:val="00B75D5A"/>
    <w:rsid w:val="00B7662C"/>
    <w:rsid w:val="00B76C9C"/>
    <w:rsid w:val="00B80992"/>
    <w:rsid w:val="00B829F9"/>
    <w:rsid w:val="00B836D5"/>
    <w:rsid w:val="00B8758E"/>
    <w:rsid w:val="00B9087C"/>
    <w:rsid w:val="00B9222F"/>
    <w:rsid w:val="00B94561"/>
    <w:rsid w:val="00BA109E"/>
    <w:rsid w:val="00BA229C"/>
    <w:rsid w:val="00BA2B70"/>
    <w:rsid w:val="00BA4C28"/>
    <w:rsid w:val="00BA4CAF"/>
    <w:rsid w:val="00BA6A82"/>
    <w:rsid w:val="00BA6B7A"/>
    <w:rsid w:val="00BA75D7"/>
    <w:rsid w:val="00BB2C9B"/>
    <w:rsid w:val="00BB3567"/>
    <w:rsid w:val="00BB4009"/>
    <w:rsid w:val="00BB56EA"/>
    <w:rsid w:val="00BB62FD"/>
    <w:rsid w:val="00BC0BEE"/>
    <w:rsid w:val="00BC0EFA"/>
    <w:rsid w:val="00BC595C"/>
    <w:rsid w:val="00BC6205"/>
    <w:rsid w:val="00BD1BCA"/>
    <w:rsid w:val="00BD61D3"/>
    <w:rsid w:val="00BD6A27"/>
    <w:rsid w:val="00BD7A1D"/>
    <w:rsid w:val="00BE3146"/>
    <w:rsid w:val="00BE3471"/>
    <w:rsid w:val="00BE52F2"/>
    <w:rsid w:val="00BE5E9A"/>
    <w:rsid w:val="00BF3725"/>
    <w:rsid w:val="00BF6DE9"/>
    <w:rsid w:val="00BF6E97"/>
    <w:rsid w:val="00C00C0D"/>
    <w:rsid w:val="00C0117D"/>
    <w:rsid w:val="00C0384A"/>
    <w:rsid w:val="00C03E38"/>
    <w:rsid w:val="00C11275"/>
    <w:rsid w:val="00C1463B"/>
    <w:rsid w:val="00C17607"/>
    <w:rsid w:val="00C204BB"/>
    <w:rsid w:val="00C2194F"/>
    <w:rsid w:val="00C24316"/>
    <w:rsid w:val="00C24471"/>
    <w:rsid w:val="00C3466F"/>
    <w:rsid w:val="00C34B20"/>
    <w:rsid w:val="00C3715F"/>
    <w:rsid w:val="00C4043C"/>
    <w:rsid w:val="00C40649"/>
    <w:rsid w:val="00C4193F"/>
    <w:rsid w:val="00C427D1"/>
    <w:rsid w:val="00C43657"/>
    <w:rsid w:val="00C43D45"/>
    <w:rsid w:val="00C549BC"/>
    <w:rsid w:val="00C56CEA"/>
    <w:rsid w:val="00C62F8D"/>
    <w:rsid w:val="00C77499"/>
    <w:rsid w:val="00C77FE9"/>
    <w:rsid w:val="00C834B2"/>
    <w:rsid w:val="00C84913"/>
    <w:rsid w:val="00C84B1A"/>
    <w:rsid w:val="00C85590"/>
    <w:rsid w:val="00C86283"/>
    <w:rsid w:val="00C862E6"/>
    <w:rsid w:val="00C87F7B"/>
    <w:rsid w:val="00C90019"/>
    <w:rsid w:val="00C92CC9"/>
    <w:rsid w:val="00C93B86"/>
    <w:rsid w:val="00C96D9F"/>
    <w:rsid w:val="00CA2834"/>
    <w:rsid w:val="00CA3897"/>
    <w:rsid w:val="00CA3A52"/>
    <w:rsid w:val="00CA3F53"/>
    <w:rsid w:val="00CA4355"/>
    <w:rsid w:val="00CA4426"/>
    <w:rsid w:val="00CA4A1F"/>
    <w:rsid w:val="00CA5DA7"/>
    <w:rsid w:val="00CB50DB"/>
    <w:rsid w:val="00CC0E01"/>
    <w:rsid w:val="00CC35E8"/>
    <w:rsid w:val="00CC4202"/>
    <w:rsid w:val="00CC6BD9"/>
    <w:rsid w:val="00CD358C"/>
    <w:rsid w:val="00CD564B"/>
    <w:rsid w:val="00CD5E1D"/>
    <w:rsid w:val="00CD7A8F"/>
    <w:rsid w:val="00CE045F"/>
    <w:rsid w:val="00CE138A"/>
    <w:rsid w:val="00CE3910"/>
    <w:rsid w:val="00CE429F"/>
    <w:rsid w:val="00CE50FD"/>
    <w:rsid w:val="00CE556C"/>
    <w:rsid w:val="00CE5A2E"/>
    <w:rsid w:val="00CF0F39"/>
    <w:rsid w:val="00CF2213"/>
    <w:rsid w:val="00CF3738"/>
    <w:rsid w:val="00CF5456"/>
    <w:rsid w:val="00D00705"/>
    <w:rsid w:val="00D03385"/>
    <w:rsid w:val="00D04CB6"/>
    <w:rsid w:val="00D05729"/>
    <w:rsid w:val="00D1001C"/>
    <w:rsid w:val="00D10E49"/>
    <w:rsid w:val="00D119E4"/>
    <w:rsid w:val="00D12194"/>
    <w:rsid w:val="00D1257C"/>
    <w:rsid w:val="00D136E6"/>
    <w:rsid w:val="00D15713"/>
    <w:rsid w:val="00D16481"/>
    <w:rsid w:val="00D1792E"/>
    <w:rsid w:val="00D24C34"/>
    <w:rsid w:val="00D24C80"/>
    <w:rsid w:val="00D25F44"/>
    <w:rsid w:val="00D3519C"/>
    <w:rsid w:val="00D37973"/>
    <w:rsid w:val="00D4083F"/>
    <w:rsid w:val="00D40A72"/>
    <w:rsid w:val="00D40D7C"/>
    <w:rsid w:val="00D41D3D"/>
    <w:rsid w:val="00D43580"/>
    <w:rsid w:val="00D4498A"/>
    <w:rsid w:val="00D467B6"/>
    <w:rsid w:val="00D47143"/>
    <w:rsid w:val="00D51870"/>
    <w:rsid w:val="00D54633"/>
    <w:rsid w:val="00D66116"/>
    <w:rsid w:val="00D6768A"/>
    <w:rsid w:val="00D720DE"/>
    <w:rsid w:val="00D72756"/>
    <w:rsid w:val="00D72B53"/>
    <w:rsid w:val="00D74240"/>
    <w:rsid w:val="00D7559B"/>
    <w:rsid w:val="00D75692"/>
    <w:rsid w:val="00D76294"/>
    <w:rsid w:val="00D76652"/>
    <w:rsid w:val="00D76A3C"/>
    <w:rsid w:val="00D77AB1"/>
    <w:rsid w:val="00D81F8A"/>
    <w:rsid w:val="00D83574"/>
    <w:rsid w:val="00D85EBB"/>
    <w:rsid w:val="00D873B9"/>
    <w:rsid w:val="00D87B16"/>
    <w:rsid w:val="00D92483"/>
    <w:rsid w:val="00D92E89"/>
    <w:rsid w:val="00D96DB5"/>
    <w:rsid w:val="00DA2533"/>
    <w:rsid w:val="00DA2977"/>
    <w:rsid w:val="00DA4EBD"/>
    <w:rsid w:val="00DB3795"/>
    <w:rsid w:val="00DB3D82"/>
    <w:rsid w:val="00DB62D7"/>
    <w:rsid w:val="00DB7BD9"/>
    <w:rsid w:val="00DC0562"/>
    <w:rsid w:val="00DC1A24"/>
    <w:rsid w:val="00DC2827"/>
    <w:rsid w:val="00DD054D"/>
    <w:rsid w:val="00DD3C2C"/>
    <w:rsid w:val="00DD4221"/>
    <w:rsid w:val="00DE2788"/>
    <w:rsid w:val="00DF6153"/>
    <w:rsid w:val="00E02B0F"/>
    <w:rsid w:val="00E02C46"/>
    <w:rsid w:val="00E04157"/>
    <w:rsid w:val="00E06966"/>
    <w:rsid w:val="00E07E4D"/>
    <w:rsid w:val="00E150C7"/>
    <w:rsid w:val="00E1528B"/>
    <w:rsid w:val="00E21744"/>
    <w:rsid w:val="00E230E3"/>
    <w:rsid w:val="00E30A36"/>
    <w:rsid w:val="00E32652"/>
    <w:rsid w:val="00E34309"/>
    <w:rsid w:val="00E34725"/>
    <w:rsid w:val="00E35329"/>
    <w:rsid w:val="00E35C8D"/>
    <w:rsid w:val="00E37A0F"/>
    <w:rsid w:val="00E37F62"/>
    <w:rsid w:val="00E4007C"/>
    <w:rsid w:val="00E40683"/>
    <w:rsid w:val="00E43F57"/>
    <w:rsid w:val="00E4478A"/>
    <w:rsid w:val="00E4493E"/>
    <w:rsid w:val="00E455B0"/>
    <w:rsid w:val="00E46736"/>
    <w:rsid w:val="00E51B30"/>
    <w:rsid w:val="00E579E8"/>
    <w:rsid w:val="00E57D43"/>
    <w:rsid w:val="00E60CB2"/>
    <w:rsid w:val="00E66B33"/>
    <w:rsid w:val="00E6730B"/>
    <w:rsid w:val="00E703E6"/>
    <w:rsid w:val="00E71956"/>
    <w:rsid w:val="00E729B4"/>
    <w:rsid w:val="00E757E2"/>
    <w:rsid w:val="00E8175E"/>
    <w:rsid w:val="00E839C1"/>
    <w:rsid w:val="00E84B26"/>
    <w:rsid w:val="00E946AB"/>
    <w:rsid w:val="00E94BF6"/>
    <w:rsid w:val="00E950BD"/>
    <w:rsid w:val="00E96320"/>
    <w:rsid w:val="00EA0242"/>
    <w:rsid w:val="00EA062B"/>
    <w:rsid w:val="00EB03B8"/>
    <w:rsid w:val="00EB4D58"/>
    <w:rsid w:val="00EB57C2"/>
    <w:rsid w:val="00EC0B37"/>
    <w:rsid w:val="00EC1D86"/>
    <w:rsid w:val="00EC260A"/>
    <w:rsid w:val="00EC39E1"/>
    <w:rsid w:val="00EC3F55"/>
    <w:rsid w:val="00ED1E18"/>
    <w:rsid w:val="00ED2B34"/>
    <w:rsid w:val="00ED355C"/>
    <w:rsid w:val="00ED45BD"/>
    <w:rsid w:val="00ED66E6"/>
    <w:rsid w:val="00ED7A24"/>
    <w:rsid w:val="00EE1521"/>
    <w:rsid w:val="00EE1D6C"/>
    <w:rsid w:val="00EE3DB1"/>
    <w:rsid w:val="00EE7FAA"/>
    <w:rsid w:val="00EF05D2"/>
    <w:rsid w:val="00EF7C83"/>
    <w:rsid w:val="00F0016D"/>
    <w:rsid w:val="00F00C04"/>
    <w:rsid w:val="00F0292B"/>
    <w:rsid w:val="00F02C25"/>
    <w:rsid w:val="00F02C62"/>
    <w:rsid w:val="00F07B9F"/>
    <w:rsid w:val="00F106AE"/>
    <w:rsid w:val="00F10850"/>
    <w:rsid w:val="00F11425"/>
    <w:rsid w:val="00F14268"/>
    <w:rsid w:val="00F16F2E"/>
    <w:rsid w:val="00F179FB"/>
    <w:rsid w:val="00F277DE"/>
    <w:rsid w:val="00F3000C"/>
    <w:rsid w:val="00F32219"/>
    <w:rsid w:val="00F32285"/>
    <w:rsid w:val="00F32EF6"/>
    <w:rsid w:val="00F34E46"/>
    <w:rsid w:val="00F3631D"/>
    <w:rsid w:val="00F36D79"/>
    <w:rsid w:val="00F3737A"/>
    <w:rsid w:val="00F40885"/>
    <w:rsid w:val="00F43770"/>
    <w:rsid w:val="00F50951"/>
    <w:rsid w:val="00F51749"/>
    <w:rsid w:val="00F51856"/>
    <w:rsid w:val="00F53756"/>
    <w:rsid w:val="00F55D1E"/>
    <w:rsid w:val="00F561D6"/>
    <w:rsid w:val="00F5627E"/>
    <w:rsid w:val="00F56333"/>
    <w:rsid w:val="00F56482"/>
    <w:rsid w:val="00F573D8"/>
    <w:rsid w:val="00F61127"/>
    <w:rsid w:val="00F61DBF"/>
    <w:rsid w:val="00F640CE"/>
    <w:rsid w:val="00F72993"/>
    <w:rsid w:val="00F74A03"/>
    <w:rsid w:val="00F84D71"/>
    <w:rsid w:val="00F87283"/>
    <w:rsid w:val="00F92753"/>
    <w:rsid w:val="00F929E6"/>
    <w:rsid w:val="00F94CAB"/>
    <w:rsid w:val="00F971F4"/>
    <w:rsid w:val="00F975AE"/>
    <w:rsid w:val="00FA0403"/>
    <w:rsid w:val="00FA6ADB"/>
    <w:rsid w:val="00FA745A"/>
    <w:rsid w:val="00FB2E25"/>
    <w:rsid w:val="00FB378A"/>
    <w:rsid w:val="00FB4E6B"/>
    <w:rsid w:val="00FB60EC"/>
    <w:rsid w:val="00FB6160"/>
    <w:rsid w:val="00FB623C"/>
    <w:rsid w:val="00FB7ADC"/>
    <w:rsid w:val="00FC1908"/>
    <w:rsid w:val="00FC231D"/>
    <w:rsid w:val="00FC5A8F"/>
    <w:rsid w:val="00FC5B82"/>
    <w:rsid w:val="00FC5C4F"/>
    <w:rsid w:val="00FC77EE"/>
    <w:rsid w:val="00FD3261"/>
    <w:rsid w:val="00FD3EB7"/>
    <w:rsid w:val="00FD7B5F"/>
    <w:rsid w:val="00FE3FCC"/>
    <w:rsid w:val="00FE4B1F"/>
    <w:rsid w:val="00FE4CED"/>
    <w:rsid w:val="00FF09C4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4D901D"/>
  <w15:docId w15:val="{5ABBF09A-B19B-4830-B584-1470783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01BB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2060"/>
      <w:szCs w:val="32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333A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A01BB"/>
    <w:rPr>
      <w:rFonts w:ascii="Times New Roman" w:eastAsiaTheme="majorEastAsia" w:hAnsi="Times New Roman" w:cstheme="majorBidi"/>
      <w:b/>
      <w:color w:val="002060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5371CD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5371C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5371CD"/>
    <w:rPr>
      <w:color w:val="0563C1" w:themeColor="hyperlink"/>
      <w:u w:val="single"/>
    </w:rPr>
  </w:style>
  <w:style w:type="paragraph" w:customStyle="1" w:styleId="Tablas">
    <w:name w:val="Tablas"/>
    <w:basedOn w:val="Normal"/>
    <w:next w:val="Normal"/>
    <w:link w:val="TablasCar"/>
    <w:qFormat/>
    <w:rsid w:val="00726F5C"/>
    <w:pPr>
      <w:jc w:val="center"/>
    </w:pPr>
    <w:rPr>
      <w:rFonts w:ascii="Times New Roman" w:hAnsi="Times New Roman"/>
      <w:b/>
      <w:lang w:val="es-GT" w:eastAsia="es-MX"/>
    </w:rPr>
  </w:style>
  <w:style w:type="paragraph" w:customStyle="1" w:styleId="Graficas">
    <w:name w:val="Graficas"/>
    <w:link w:val="GraficasCar"/>
    <w:qFormat/>
    <w:rsid w:val="00A74EC7"/>
    <w:rPr>
      <w:rFonts w:ascii="Times New Roman" w:hAnsi="Times New Roman"/>
      <w:lang w:val="es-ES_tradnl" w:eastAsia="es-MX"/>
    </w:rPr>
  </w:style>
  <w:style w:type="character" w:customStyle="1" w:styleId="TablasCar">
    <w:name w:val="Tablas Car"/>
    <w:basedOn w:val="Fuentedeprrafopredeter"/>
    <w:link w:val="Tablas"/>
    <w:rsid w:val="00726F5C"/>
    <w:rPr>
      <w:rFonts w:ascii="Times New Roman" w:hAnsi="Times New Roman"/>
      <w:b/>
      <w:lang w:eastAsia="es-MX"/>
    </w:rPr>
  </w:style>
  <w:style w:type="character" w:customStyle="1" w:styleId="GraficasCar">
    <w:name w:val="Graficas Car"/>
    <w:basedOn w:val="Fuentedeprrafopredeter"/>
    <w:link w:val="Graficas"/>
    <w:rsid w:val="00A74EC7"/>
    <w:rPr>
      <w:rFonts w:ascii="Times New Roman" w:hAnsi="Times New Roman"/>
      <w:lang w:val="es-ES_tradnl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3A35AB"/>
    <w:pPr>
      <w:spacing w:after="100" w:line="259" w:lineRule="auto"/>
      <w:ind w:left="220"/>
    </w:pPr>
    <w:rPr>
      <w:rFonts w:eastAsiaTheme="minorEastAsia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A35AB"/>
    <w:pPr>
      <w:spacing w:after="100" w:line="259" w:lineRule="auto"/>
      <w:ind w:left="440"/>
    </w:pPr>
    <w:rPr>
      <w:rFonts w:eastAsiaTheme="minorEastAsia" w:cs="Times New Roman"/>
      <w:sz w:val="22"/>
      <w:szCs w:val="22"/>
      <w:lang w:val="es-MX" w:eastAsia="es-MX"/>
    </w:rPr>
  </w:style>
  <w:style w:type="paragraph" w:styleId="Descripcin">
    <w:name w:val="caption"/>
    <w:basedOn w:val="Normal"/>
    <w:next w:val="Normal"/>
    <w:uiPriority w:val="35"/>
    <w:unhideWhenUsed/>
    <w:qFormat/>
    <w:rsid w:val="00590048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Tablas"/>
    <w:next w:val="Tablas"/>
    <w:uiPriority w:val="99"/>
    <w:unhideWhenUsed/>
    <w:rsid w:val="00241E4B"/>
    <w:pPr>
      <w:jc w:val="left"/>
    </w:pPr>
    <w:rPr>
      <w:rFonts w:cstheme="minorHAnsi"/>
      <w:b w:val="0"/>
      <w:iCs/>
      <w:sz w:val="22"/>
      <w:szCs w:val="20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D5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9430029774564E-2"/>
          <c:y val="5.0418422971853796E-2"/>
          <c:w val="0.9262232188011803"/>
          <c:h val="0.729801357247926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'RESOL. QUEJAS ACUM'!$A$8</c:f>
              <c:strCache>
                <c:ptCount val="1"/>
                <c:pt idx="0">
                  <c:v>Mediaciones 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ACUM'!$BJ$8:$BM$8</c:f>
              <c:numCache>
                <c:formatCode>General</c:formatCode>
                <c:ptCount val="4"/>
                <c:pt idx="0">
                  <c:v>444</c:v>
                </c:pt>
                <c:pt idx="2">
                  <c:v>198</c:v>
                </c:pt>
                <c:pt idx="3">
                  <c:v>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83-4143-AA96-4FE39B8E1F04}"/>
            </c:ext>
          </c:extLst>
        </c:ser>
        <c:ser>
          <c:idx val="1"/>
          <c:order val="1"/>
          <c:tx>
            <c:strRef>
              <c:f>'RESOL. QUEJAS ACUM'!$A$9</c:f>
              <c:strCache>
                <c:ptCount val="1"/>
                <c:pt idx="0">
                  <c:v>Conciliaciones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rgbClr val="00206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'RESOL. QUEJAS ACUM'!$BJ$7:$BM$7</c:f>
              <c:numCache>
                <c:formatCode>General</c:formatCode>
                <c:ptCount val="4"/>
              </c:numCache>
            </c:numRef>
          </c:cat>
          <c:val>
            <c:numRef>
              <c:f>'RESOL. QUEJAS ACUM'!$BJ$9:$BM$9</c:f>
              <c:numCache>
                <c:formatCode>General</c:formatCode>
                <c:ptCount val="4"/>
                <c:pt idx="0" formatCode="#,##0">
                  <c:v>1754</c:v>
                </c:pt>
                <c:pt idx="1">
                  <c:v>982</c:v>
                </c:pt>
                <c:pt idx="2" formatCode="#,##0">
                  <c:v>2762</c:v>
                </c:pt>
                <c:pt idx="3" formatCode="#,##0">
                  <c:v>565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83-4143-AA96-4FE39B8E1F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8427631"/>
        <c:axId val="1"/>
      </c:barChart>
      <c:catAx>
        <c:axId val="458427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high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s-G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8427631"/>
        <c:crossesAt val="1"/>
        <c:crossBetween val="between"/>
      </c:valAx>
      <c:spPr>
        <a:solidFill>
          <a:schemeClr val="bg1"/>
        </a:solidFill>
        <a:ln>
          <a:noFill/>
        </a:ln>
        <a:effectLst>
          <a:softEdge rad="635000"/>
        </a:effectLst>
      </c:spPr>
    </c:plotArea>
    <c:legend>
      <c:legendPos val="r"/>
      <c:layout>
        <c:manualLayout>
          <c:xMode val="edge"/>
          <c:yMode val="edge"/>
          <c:x val="2.0225770906667287E-2"/>
          <c:y val="0.84111886426284621"/>
          <c:w val="0.96701370165819878"/>
          <c:h val="0.141938095650131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es-GT"/>
        </a:p>
      </c:txPr>
    </c:legend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773231083063423E-2"/>
          <c:y val="1.8086735517376312E-2"/>
          <c:w val="0.98422676891693639"/>
          <c:h val="0.72634799921080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'montos recuperados'!$D$3:$D$4</c:f>
              <c:strCache>
                <c:ptCount val="2"/>
                <c:pt idx="0">
                  <c:v>DEPTO. SERVICIOS AL CONSUMIDOR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1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</c:strCache>
            </c:strRef>
          </c:cat>
          <c:val>
            <c:numRef>
              <c:f>'montos recuperados'!$D$5:$D$63</c:f>
              <c:numCache>
                <c:formatCode>#,##0.00</c:formatCode>
                <c:ptCount val="11"/>
                <c:pt idx="0">
                  <c:v>1001180.0800000001</c:v>
                </c:pt>
                <c:pt idx="1">
                  <c:v>754169.35</c:v>
                </c:pt>
                <c:pt idx="2">
                  <c:v>914562.64999999991</c:v>
                </c:pt>
                <c:pt idx="3">
                  <c:v>308367.74</c:v>
                </c:pt>
                <c:pt idx="4">
                  <c:v>919960.1399999999</c:v>
                </c:pt>
                <c:pt idx="5">
                  <c:v>1548378.5699999998</c:v>
                </c:pt>
                <c:pt idx="6">
                  <c:v>493087.62</c:v>
                </c:pt>
                <c:pt idx="7">
                  <c:v>1245570.6599999999</c:v>
                </c:pt>
                <c:pt idx="8">
                  <c:v>1065279.54</c:v>
                </c:pt>
                <c:pt idx="9">
                  <c:v>1041685.48</c:v>
                </c:pt>
                <c:pt idx="10">
                  <c:v>1195766.92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678-4609-AF9C-B4CC879F2AF5}"/>
            </c:ext>
          </c:extLst>
        </c:ser>
        <c:ser>
          <c:idx val="1"/>
          <c:order val="1"/>
          <c:tx>
            <c:strRef>
              <c:f>'montos recuperados'!$E$3:$E$4</c:f>
              <c:strCache>
                <c:ptCount val="2"/>
                <c:pt idx="0">
                  <c:v>DEPTO. LEGAL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1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</c:strCache>
            </c:strRef>
          </c:cat>
          <c:val>
            <c:numRef>
              <c:f>'montos recuperados'!$E$5:$E$63</c:f>
              <c:numCache>
                <c:formatCode>#,##0.00</c:formatCode>
                <c:ptCount val="11"/>
                <c:pt idx="0">
                  <c:v>1059199.33</c:v>
                </c:pt>
                <c:pt idx="1">
                  <c:v>497853.05</c:v>
                </c:pt>
                <c:pt idx="2">
                  <c:v>772006.84000000008</c:v>
                </c:pt>
                <c:pt idx="3">
                  <c:v>516139.49</c:v>
                </c:pt>
                <c:pt idx="4">
                  <c:v>2128459.2400000002</c:v>
                </c:pt>
                <c:pt idx="5">
                  <c:v>1284675.52</c:v>
                </c:pt>
                <c:pt idx="6">
                  <c:v>2519905.2999999998</c:v>
                </c:pt>
                <c:pt idx="7">
                  <c:v>1193970.5899999999</c:v>
                </c:pt>
                <c:pt idx="8">
                  <c:v>1272464.05</c:v>
                </c:pt>
                <c:pt idx="9">
                  <c:v>1640573.89</c:v>
                </c:pt>
                <c:pt idx="10">
                  <c:v>1824557.26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678-4609-AF9C-B4CC879F2AF5}"/>
            </c:ext>
          </c:extLst>
        </c:ser>
        <c:ser>
          <c:idx val="2"/>
          <c:order val="2"/>
          <c:tx>
            <c:strRef>
              <c:f>'montos recuperados'!$F$3:$F$4</c:f>
              <c:strCache>
                <c:ptCount val="2"/>
                <c:pt idx="0">
                  <c:v>DEPTO. VERIFICACIÓN Y VIGILANCIA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1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</c:strCache>
            </c:strRef>
          </c:cat>
          <c:val>
            <c:numRef>
              <c:f>'montos recuperados'!$F$5:$F$63</c:f>
              <c:numCache>
                <c:formatCode>#,##0.00</c:formatCode>
                <c:ptCount val="11"/>
                <c:pt idx="0">
                  <c:v>300523.05</c:v>
                </c:pt>
                <c:pt idx="1">
                  <c:v>311937.23</c:v>
                </c:pt>
                <c:pt idx="2">
                  <c:v>368239.82</c:v>
                </c:pt>
                <c:pt idx="3">
                  <c:v>537714.43999999994</c:v>
                </c:pt>
                <c:pt idx="4">
                  <c:v>751441.65</c:v>
                </c:pt>
                <c:pt idx="5">
                  <c:v>264608.95</c:v>
                </c:pt>
                <c:pt idx="6">
                  <c:v>485465.7</c:v>
                </c:pt>
                <c:pt idx="7">
                  <c:v>336025.47</c:v>
                </c:pt>
                <c:pt idx="8">
                  <c:v>272301.34000000003</c:v>
                </c:pt>
                <c:pt idx="9">
                  <c:v>37577.160000000003</c:v>
                </c:pt>
                <c:pt idx="10">
                  <c:v>629272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678-4609-AF9C-B4CC879F2AF5}"/>
            </c:ext>
          </c:extLst>
        </c:ser>
        <c:ser>
          <c:idx val="3"/>
          <c:order val="3"/>
          <c:tx>
            <c:strRef>
              <c:f>'montos recuperados'!$G$3:$G$4</c:f>
              <c:strCache>
                <c:ptCount val="2"/>
                <c:pt idx="0">
                  <c:v>TOTAL SEDE CENTRAL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'montos recuperados'!$C$5:$C$63</c:f>
              <c:strCache>
                <c:ptCount val="11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</c:strCache>
            </c:strRef>
          </c:cat>
          <c:val>
            <c:numRef>
              <c:f>'montos recuperados'!$G$5:$G$43</c:f>
            </c:numRef>
          </c:val>
          <c:extLst>
            <c:ext xmlns:c16="http://schemas.microsoft.com/office/drawing/2014/chart" uri="{C3380CC4-5D6E-409C-BE32-E72D297353CC}">
              <c16:uniqueId val="{0000000B-1678-4609-AF9C-B4CC879F2AF5}"/>
            </c:ext>
          </c:extLst>
        </c:ser>
        <c:ser>
          <c:idx val="4"/>
          <c:order val="4"/>
          <c:tx>
            <c:strRef>
              <c:f>'montos recuperados'!$H$3:$H$4</c:f>
              <c:strCache>
                <c:ptCount val="2"/>
                <c:pt idx="0">
                  <c:v>DEPTO. COORDINACIÓN DE SEDES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s-GT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'montos recuperados'!$C$5:$C$63</c:f>
              <c:strCache>
                <c:ptCount val="11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</c:strCache>
            </c:strRef>
          </c:cat>
          <c:val>
            <c:numRef>
              <c:f>'montos recuperados'!$H$5:$H$63</c:f>
              <c:numCache>
                <c:formatCode>#,##0.00</c:formatCode>
                <c:ptCount val="11"/>
                <c:pt idx="0">
                  <c:v>297550.3</c:v>
                </c:pt>
                <c:pt idx="1">
                  <c:v>274856.58999999997</c:v>
                </c:pt>
                <c:pt idx="2">
                  <c:v>568434.17000000004</c:v>
                </c:pt>
                <c:pt idx="3">
                  <c:v>184963.83000000002</c:v>
                </c:pt>
                <c:pt idx="4">
                  <c:v>324488.17000000004</c:v>
                </c:pt>
                <c:pt idx="5">
                  <c:v>296101.57</c:v>
                </c:pt>
                <c:pt idx="6">
                  <c:v>102037.5</c:v>
                </c:pt>
                <c:pt idx="7">
                  <c:v>278846.20999999996</c:v>
                </c:pt>
                <c:pt idx="8">
                  <c:v>1020804.39</c:v>
                </c:pt>
                <c:pt idx="9">
                  <c:v>512582</c:v>
                </c:pt>
                <c:pt idx="10">
                  <c:v>708318.52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1678-4609-AF9C-B4CC879F2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0230752"/>
        <c:axId val="1"/>
      </c:barChart>
      <c:catAx>
        <c:axId val="2020230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1020000" spcFirstLastPara="1" vertOverflow="ellipsis" wrap="square" anchor="ctr" anchorCtr="1"/>
          <a:lstStyle/>
          <a:p>
            <a:pPr>
              <a:defRPr sz="800" b="1" i="0" u="none" strike="noStrike" kern="1200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GT"/>
          </a:p>
        </c:txPr>
        <c:crossAx val="1"/>
        <c:crosses val="autoZero"/>
        <c:auto val="1"/>
        <c:lblAlgn val="ctr"/>
        <c:lblOffset val="200"/>
        <c:tickLblSkip val="1"/>
        <c:noMultiLvlLbl val="0"/>
      </c:catAx>
      <c:valAx>
        <c:axId val="1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202023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GT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GT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GT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rgbClr val="333333"/>
                </a:solidFill>
                <a:latin typeface="Arial"/>
                <a:ea typeface="Arial"/>
                <a:cs typeface="Arial"/>
              </a:defRPr>
            </a:pPr>
            <a:endParaRPr lang="es-GT"/>
          </a:p>
        </c:txPr>
      </c:legendEntry>
      <c:layout>
        <c:manualLayout>
          <c:xMode val="edge"/>
          <c:yMode val="edge"/>
          <c:x val="5.8150384521752294E-2"/>
          <c:y val="0.8371337865226981"/>
          <c:w val="0.8650055843881147"/>
          <c:h val="0.16024919436323307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rgbClr val="333333"/>
              </a:solidFill>
              <a:latin typeface="Arial"/>
              <a:ea typeface="Arial"/>
              <a:cs typeface="Arial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147114479681962E-2"/>
          <c:y val="4.2145593869731802E-2"/>
          <c:w val="0.90145858522257238"/>
          <c:h val="0.70092557395842758"/>
        </c:manualLayout>
      </c:layout>
      <c:barChart>
        <c:barDir val="col"/>
        <c:grouping val="clustered"/>
        <c:varyColors val="0"/>
        <c:ser>
          <c:idx val="6"/>
          <c:order val="0"/>
          <c:tx>
            <c:strRef>
              <c:f>'LIBROS INST.CONT.ACUM'!$AL$5</c:f>
              <c:strCache>
                <c:ptCount val="1"/>
                <c:pt idx="0">
                  <c:v>SEDE CENTRAL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INST.CONT.ACUM'!$AL$6:$AL$8</c:f>
              <c:numCache>
                <c:formatCode>General</c:formatCode>
                <c:ptCount val="3"/>
                <c:pt idx="0" formatCode="#,##0">
                  <c:v>5958</c:v>
                </c:pt>
                <c:pt idx="1">
                  <c:v>253</c:v>
                </c:pt>
                <c:pt idx="2" formatCode="#,##0">
                  <c:v>2151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2E-4126-B701-0D6DBF37AC03}"/>
            </c:ext>
          </c:extLst>
        </c:ser>
        <c:ser>
          <c:idx val="7"/>
          <c:order val="1"/>
          <c:tx>
            <c:strRef>
              <c:f>'LIBROS INST.CONT.ACUM'!$AM$5</c:f>
              <c:strCache>
                <c:ptCount val="1"/>
                <c:pt idx="0">
                  <c:v>SEDES DEPARTAMENTALES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'LIBROS INST.CONT.ACUM'!$A$6:$A$8</c:f>
              <c:strCache>
                <c:ptCount val="3"/>
                <c:pt idx="0">
                  <c:v>Libros de Quejas Autorizados</c:v>
                </c:pt>
                <c:pt idx="1">
                  <c:v>Expedientes de Contratos de Adhesión</c:v>
                </c:pt>
                <c:pt idx="2">
                  <c:v>Expedientes de Instrumentos de Medición</c:v>
                </c:pt>
              </c:strCache>
            </c:strRef>
          </c:cat>
          <c:val>
            <c:numRef>
              <c:f>'LIBROS INST.CONT.ACUM'!$AM$6:$AM$8</c:f>
              <c:numCache>
                <c:formatCode>#,##0</c:formatCode>
                <c:ptCount val="3"/>
                <c:pt idx="0">
                  <c:v>4702</c:v>
                </c:pt>
                <c:pt idx="1">
                  <c:v>339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2E-4126-B701-0D6DBF37AC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20239072"/>
        <c:axId val="1"/>
      </c:barChart>
      <c:catAx>
        <c:axId val="2020239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020239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65020078572696"/>
          <c:y val="0.91235586930943979"/>
          <c:w val="0.43959765822551639"/>
          <c:h val="5.44798001944672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9932-5B21-4AFD-A329-3750FB93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7145</Words>
  <Characters>39300</Characters>
  <Application>Microsoft Office Word</Application>
  <DocSecurity>0</DocSecurity>
  <Lines>327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Diego Alejandro Garcia Laguardia</cp:lastModifiedBy>
  <cp:revision>4</cp:revision>
  <cp:lastPrinted>2025-12-17T00:04:00Z</cp:lastPrinted>
  <dcterms:created xsi:type="dcterms:W3CDTF">2025-12-17T00:01:00Z</dcterms:created>
  <dcterms:modified xsi:type="dcterms:W3CDTF">2025-12-17T00:07:00Z</dcterms:modified>
</cp:coreProperties>
</file>